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25" w:rsidRDefault="00FE7A25" w:rsidP="00822EB8">
      <w:pPr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Резюме</w:t>
      </w:r>
    </w:p>
    <w:p w:rsidR="00FE7A25" w:rsidRDefault="00822EB8">
      <w:pPr>
        <w:spacing w:line="360" w:lineRule="auto"/>
        <w:ind w:firstLine="567"/>
        <w:jc w:val="both"/>
      </w:pPr>
      <w:r>
        <w:t>Постійний ріст енергоносіїв, погіршення екології через надмірне використання викопних джерел енергії, та погіршення фінансового стану господарюючих суб’єктів призвело до створення в ряді європейських країн «енергетичних кооперативів». Задля ефективного використання наявних в певних місцевостях енергетичних ресурсів, їх створення та реалізацію надлишку на зовнішній ринок. Це дозволяє зробити  диверсифікацію  енергоносіїв в певній місцевості</w:t>
      </w:r>
      <w:r w:rsidR="005E33CD">
        <w:t>. Створює додаткові можливості в бізнесі окремим учасникам. Забезпечує зменшення негативного впливу на довкілля.</w:t>
      </w: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5"/>
        <w:gridCol w:w="6385"/>
      </w:tblGrid>
      <w:tr w:rsidR="00FE7A25">
        <w:trPr>
          <w:trHeight w:val="70"/>
        </w:trPr>
        <w:tc>
          <w:tcPr>
            <w:tcW w:w="3435" w:type="dxa"/>
          </w:tcPr>
          <w:p w:rsidR="00FE7A25" w:rsidRDefault="00FE7A25">
            <w:pPr>
              <w:spacing w:line="360" w:lineRule="auto"/>
            </w:pPr>
            <w:r>
              <w:t>Вид підприємства</w:t>
            </w:r>
          </w:p>
          <w:p w:rsidR="00FE7A25" w:rsidRDefault="00FE7A25">
            <w:pPr>
              <w:spacing w:line="360" w:lineRule="auto"/>
            </w:pPr>
            <w:r>
              <w:t>Назва підприємства</w:t>
            </w:r>
          </w:p>
          <w:p w:rsidR="00FE7A25" w:rsidRDefault="00FE7A25">
            <w:pPr>
              <w:spacing w:line="360" w:lineRule="auto"/>
            </w:pPr>
            <w:r>
              <w:t>Номер та дата державної реєстрації</w:t>
            </w:r>
          </w:p>
          <w:p w:rsidR="00FE7A25" w:rsidRDefault="00FE7A25">
            <w:pPr>
              <w:spacing w:line="360" w:lineRule="auto"/>
            </w:pPr>
            <w:r>
              <w:t>Вид діяльності</w:t>
            </w:r>
          </w:p>
          <w:p w:rsidR="00920262" w:rsidRDefault="00920262">
            <w:pPr>
              <w:spacing w:line="360" w:lineRule="auto"/>
            </w:pPr>
          </w:p>
          <w:p w:rsidR="00FE7A25" w:rsidRDefault="00FE7A25">
            <w:pPr>
              <w:spacing w:line="360" w:lineRule="auto"/>
            </w:pPr>
            <w:r>
              <w:t>Форма власності</w:t>
            </w:r>
          </w:p>
          <w:p w:rsidR="00FE7A25" w:rsidRDefault="00FE7A25">
            <w:pPr>
              <w:spacing w:line="360" w:lineRule="auto"/>
            </w:pPr>
            <w:r>
              <w:t>Адреса підприємства</w:t>
            </w:r>
          </w:p>
          <w:p w:rsidR="00FE7A25" w:rsidRDefault="00FE7A25">
            <w:pPr>
              <w:spacing w:line="360" w:lineRule="auto"/>
            </w:pPr>
            <w:r>
              <w:t>Керівник підприємства</w:t>
            </w:r>
          </w:p>
          <w:p w:rsidR="00FE7A25" w:rsidRDefault="00FE7A25">
            <w:pPr>
              <w:spacing w:line="360" w:lineRule="auto"/>
            </w:pPr>
            <w:r>
              <w:t>Головний бухгалтер</w:t>
            </w:r>
          </w:p>
        </w:tc>
        <w:tc>
          <w:tcPr>
            <w:tcW w:w="6385" w:type="dxa"/>
          </w:tcPr>
          <w:p w:rsidR="00FE7A25" w:rsidRDefault="00FE7A25">
            <w:pPr>
              <w:spacing w:line="360" w:lineRule="auto"/>
            </w:pPr>
            <w:r>
              <w:t xml:space="preserve">Підприємство </w:t>
            </w:r>
            <w:r w:rsidR="005E33CD">
              <w:t>енергетики</w:t>
            </w:r>
          </w:p>
          <w:p w:rsidR="00FE7A25" w:rsidRDefault="00920262">
            <w:pPr>
              <w:spacing w:line="360" w:lineRule="auto"/>
            </w:pPr>
            <w:r w:rsidRPr="00920262">
              <w:rPr>
                <w:lang w:val="ru-RU"/>
              </w:rPr>
              <w:t>ТОВ</w:t>
            </w:r>
            <w:r w:rsidR="00FE7A25">
              <w:t xml:space="preserve"> «</w:t>
            </w:r>
            <w:r>
              <w:rPr>
                <w:lang w:val="en-US"/>
              </w:rPr>
              <w:t>Green</w:t>
            </w:r>
            <w:r w:rsidRPr="00920262">
              <w:rPr>
                <w:lang w:val="ru-RU"/>
              </w:rPr>
              <w:t xml:space="preserve"> </w:t>
            </w:r>
            <w:r w:rsidR="005E33CD" w:rsidRPr="005E33CD">
              <w:t>Energy</w:t>
            </w:r>
            <w:r w:rsidR="00FE7A25">
              <w:t>» (</w:t>
            </w:r>
            <w:r>
              <w:t>енергетичний кооператив</w:t>
            </w:r>
            <w:r w:rsidR="00FE7A25">
              <w:t>)</w:t>
            </w:r>
          </w:p>
          <w:p w:rsidR="00FE7A25" w:rsidRDefault="00FE7A25">
            <w:pPr>
              <w:spacing w:line="360" w:lineRule="auto"/>
            </w:pPr>
          </w:p>
          <w:p w:rsidR="00FE7A25" w:rsidRDefault="00FE7A25">
            <w:pPr>
              <w:spacing w:line="360" w:lineRule="auto"/>
            </w:pPr>
          </w:p>
          <w:p w:rsidR="00FE7A25" w:rsidRDefault="00920262">
            <w:pPr>
              <w:spacing w:line="360" w:lineRule="auto"/>
            </w:pPr>
            <w:r>
              <w:t>Надання послуг з теплопостачання, продаж паливних брикетів</w:t>
            </w:r>
          </w:p>
          <w:p w:rsidR="00FE7A25" w:rsidRDefault="00FE7A25">
            <w:pPr>
              <w:spacing w:line="360" w:lineRule="auto"/>
            </w:pPr>
            <w:r>
              <w:t>Колективна</w:t>
            </w:r>
          </w:p>
          <w:p w:rsidR="00FE7A25" w:rsidRDefault="00920262">
            <w:pPr>
              <w:spacing w:line="360" w:lineRule="auto"/>
            </w:pPr>
            <w:r>
              <w:t>с</w:t>
            </w:r>
            <w:r w:rsidR="00FE7A25">
              <w:t xml:space="preserve">. </w:t>
            </w:r>
            <w:r>
              <w:t>Хвощівка</w:t>
            </w:r>
            <w:r w:rsidR="00FE7A25">
              <w:t xml:space="preserve">, вул. </w:t>
            </w:r>
            <w:r>
              <w:t>Колгоспна, 1</w:t>
            </w:r>
          </w:p>
          <w:p w:rsidR="00FE7A25" w:rsidRDefault="00920262">
            <w:pPr>
              <w:spacing w:line="360" w:lineRule="auto"/>
            </w:pPr>
            <w:r>
              <w:t xml:space="preserve">Ващук Андрій </w:t>
            </w:r>
          </w:p>
          <w:p w:rsidR="00FE7A25" w:rsidRDefault="00920262">
            <w:pPr>
              <w:spacing w:line="360" w:lineRule="auto"/>
            </w:pPr>
            <w:r>
              <w:t>Калашнікова Наталія Василівна</w:t>
            </w:r>
          </w:p>
        </w:tc>
      </w:tr>
    </w:tbl>
    <w:p w:rsidR="00FE7A25" w:rsidRDefault="00FE7A25">
      <w:pPr>
        <w:jc w:val="center"/>
      </w:pPr>
    </w:p>
    <w:p w:rsidR="00FE7A25" w:rsidRDefault="00FE7A25">
      <w:pPr>
        <w:jc w:val="center"/>
      </w:pPr>
    </w:p>
    <w:p w:rsidR="00FE7A25" w:rsidRDefault="00FE7A25">
      <w:pPr>
        <w:jc w:val="center"/>
      </w:pPr>
    </w:p>
    <w:p w:rsidR="00FE7A25" w:rsidRDefault="00FE7A25">
      <w:pPr>
        <w:jc w:val="center"/>
      </w:pPr>
    </w:p>
    <w:p w:rsidR="00FE7A25" w:rsidRDefault="00FE7A25">
      <w:pPr>
        <w:jc w:val="center"/>
      </w:pPr>
    </w:p>
    <w:p w:rsidR="00FE7A25" w:rsidRDefault="00FE7A25">
      <w:pPr>
        <w:jc w:val="center"/>
      </w:pPr>
    </w:p>
    <w:p w:rsidR="00FE7A25" w:rsidRDefault="00FE7A25">
      <w:pPr>
        <w:jc w:val="center"/>
      </w:pPr>
    </w:p>
    <w:p w:rsidR="00FE7A25" w:rsidRPr="00920262" w:rsidRDefault="00920262" w:rsidP="00920262">
      <w:pPr>
        <w:jc w:val="center"/>
        <w:rPr>
          <w:lang w:val="ru-RU"/>
        </w:rPr>
      </w:pPr>
      <w:r>
        <w:br w:type="page"/>
      </w:r>
    </w:p>
    <w:p w:rsidR="00FE7A25" w:rsidRDefault="00FE7A25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lastRenderedPageBreak/>
        <w:t>1.Суть проекту та характеристика продукції</w:t>
      </w:r>
    </w:p>
    <w:p w:rsidR="00FE7A25" w:rsidRDefault="00920262">
      <w:pPr>
        <w:spacing w:line="360" w:lineRule="auto"/>
        <w:ind w:firstLine="567"/>
        <w:jc w:val="both"/>
      </w:pPr>
      <w:r w:rsidRPr="00920262">
        <w:rPr>
          <w:lang w:val="ru-RU"/>
        </w:rPr>
        <w:t>ТОВ</w:t>
      </w:r>
      <w:r>
        <w:t xml:space="preserve"> «</w:t>
      </w:r>
      <w:r>
        <w:rPr>
          <w:lang w:val="en-US"/>
        </w:rPr>
        <w:t>Green</w:t>
      </w:r>
      <w:r w:rsidRPr="00920262">
        <w:rPr>
          <w:lang w:val="ru-RU"/>
        </w:rPr>
        <w:t xml:space="preserve"> </w:t>
      </w:r>
      <w:r w:rsidRPr="005E33CD">
        <w:t>Energy</w:t>
      </w:r>
      <w:r>
        <w:t xml:space="preserve">» </w:t>
      </w:r>
      <w:r w:rsidR="00FE7A25">
        <w:t xml:space="preserve"> відноситься до галузі </w:t>
      </w:r>
      <w:r>
        <w:t>енергетики</w:t>
      </w:r>
      <w:r w:rsidR="00FE7A25">
        <w:t xml:space="preserve">. </w:t>
      </w:r>
      <w:r>
        <w:t>В своїй діяльності використовуючи новітнє європейське обладнання покликане забезпечити місцевий ринок в потребах твердого палива для опалення приватних будинків, об’єктів соціальний сфери та приватних підприємств</w:t>
      </w:r>
      <w:r w:rsidR="00FE7A25">
        <w:t>.</w:t>
      </w:r>
    </w:p>
    <w:p w:rsidR="00983E84" w:rsidRDefault="00920262" w:rsidP="00983E84">
      <w:pPr>
        <w:spacing w:line="360" w:lineRule="auto"/>
        <w:ind w:firstLine="567"/>
        <w:jc w:val="both"/>
      </w:pPr>
      <w:r>
        <w:t xml:space="preserve">Останнім часом спостерігається тенденція здороження цін на газ, що призводить </w:t>
      </w:r>
      <w:r w:rsidR="00983E84">
        <w:t>до того що більшість споживачів відмовляються від газового опалення та переходять на твердопаливне. Найпоширенішим видом твердого палива є деревина, яка через надмірний попит має тенденцію до здороження. Крім того сільськогосподарські підприємства регіону в більшості відмовились від тваринництва і повністю перейшли в галузь  рослинництва, що призвело до надлишку соломи, яка раніше використовувалася, як корм для ВРХ. Ці передумови дозволяють використовувати солому для виробництва паливних брикетів, як альтернативного виду твердого палива.</w:t>
      </w:r>
    </w:p>
    <w:p w:rsidR="001E5931" w:rsidRDefault="001E5931" w:rsidP="00983E84">
      <w:pPr>
        <w:spacing w:line="360" w:lineRule="auto"/>
        <w:ind w:firstLine="567"/>
        <w:jc w:val="both"/>
      </w:pPr>
      <w:r>
        <w:t xml:space="preserve">Сучасна економіка характеризується надмірно великою ціною на кредитні ресурси, крім того на території громади економіка однотипна і представлена лише сільськогосподарською галуззю і торгівлею, більшість суб’єктів яких знайшли своє місце і не мають бажання працювати в інших маловідомих для них галузях. Незважаючи на це окупність такого проекту є досить швидкою, а також сільськогосподарські виробники можуть використовувати його для реалізації продукції, яка раніше не реалізовувалася. А форма кооперативу дозволить ефективно контролювати використання своїх інвестицій. Крім того сільська рада, як найбільший споживач енергоносіїв в регіоні, через нерівномірність отримання доходів, прагне зробити перерозподіл енергетичних носіїв для опалення закладів комунальної сфери. </w:t>
      </w:r>
    </w:p>
    <w:p w:rsidR="0036199B" w:rsidRDefault="0036199B">
      <w:pPr>
        <w:spacing w:line="360" w:lineRule="auto"/>
        <w:ind w:firstLine="567"/>
        <w:jc w:val="both"/>
      </w:pPr>
      <w:r>
        <w:t>Проаналізувавши потужність обладнання, цінову політику,що склалася на ринку твердого палива, трудове законодавство, пропозиції виробників соломи, можна дійти висновку про доцільність організації виробництва з використанням лінії для брикетування «BIOMASSER DUO-SET», продуктивністю 160 кг за годину готової продукції, з можливістю подальшого дообладнання для збільшення продуктивності.</w:t>
      </w:r>
      <w:r w:rsidR="008B0824">
        <w:t xml:space="preserve"> Крім того закупівля та встановлення  твердопаливного котла довготривалого горіння в Молоправутинському ліцеї дозволить уникнути ризиків з реалізацією продукції, та збільшити додану вартість, шляхом реалізації тепла власнику установу Берездівській сільській раді.</w:t>
      </w:r>
    </w:p>
    <w:p w:rsidR="00A8443F" w:rsidRDefault="00A8443F" w:rsidP="00A8443F">
      <w:pPr>
        <w:spacing w:line="360" w:lineRule="auto"/>
        <w:ind w:firstLine="567"/>
        <w:jc w:val="both"/>
      </w:pPr>
      <w:r>
        <w:t>Продукція  підприємства паливний брикет характеризується універсальністю, що дозволить використовувати його в усіх твердопаливних котлах, а також в пічному опаленні.</w:t>
      </w:r>
    </w:p>
    <w:p w:rsidR="00A8443F" w:rsidRDefault="00A8443F">
      <w:pPr>
        <w:spacing w:line="360" w:lineRule="auto"/>
        <w:ind w:firstLine="567"/>
        <w:jc w:val="both"/>
      </w:pPr>
    </w:p>
    <w:p w:rsidR="008B0824" w:rsidRDefault="008B0824">
      <w:pPr>
        <w:spacing w:line="360" w:lineRule="auto"/>
        <w:ind w:firstLine="567"/>
        <w:jc w:val="both"/>
      </w:pPr>
      <w:r>
        <w:br w:type="page"/>
      </w:r>
    </w:p>
    <w:p w:rsidR="00FE7A25" w:rsidRDefault="00FE7A25">
      <w:pPr>
        <w:pStyle w:val="a3"/>
        <w:ind w:firstLine="0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lastRenderedPageBreak/>
        <w:t>2. Оцінка ринку збуту</w:t>
      </w:r>
    </w:p>
    <w:p w:rsidR="008B0824" w:rsidRDefault="008B0824" w:rsidP="008B0824">
      <w:pPr>
        <w:spacing w:line="360" w:lineRule="auto"/>
        <w:ind w:firstLine="567"/>
        <w:jc w:val="both"/>
      </w:pPr>
      <w:r>
        <w:t xml:space="preserve">Основною метою виробництва має стати забезпечення </w:t>
      </w:r>
      <w:r w:rsidR="00A8443F">
        <w:t>твердопаливних котлів довготривалого горіння паливом, для подальшого продажу теплової енергії закладам</w:t>
      </w:r>
      <w:r>
        <w:t xml:space="preserve"> к</w:t>
      </w:r>
      <w:r w:rsidR="00A8443F">
        <w:t>омунальної сфери</w:t>
      </w:r>
      <w:r>
        <w:t>,</w:t>
      </w:r>
      <w:r w:rsidR="00A8443F">
        <w:t xml:space="preserve"> а також продаж надлишку брикетів на внутрішні і зовнішні ринки громади,</w:t>
      </w:r>
      <w:r>
        <w:t xml:space="preserve"> тобто виробництво на перших етапах повністю забезпечене ринком збуту своєї продукції. </w:t>
      </w:r>
    </w:p>
    <w:p w:rsidR="00FE7A25" w:rsidRDefault="00FE7A25">
      <w:pPr>
        <w:spacing w:line="360" w:lineRule="auto"/>
        <w:ind w:firstLine="567"/>
        <w:jc w:val="both"/>
      </w:pPr>
      <w:r>
        <w:t xml:space="preserve">Ринок споживачів </w:t>
      </w:r>
      <w:r w:rsidR="00A8443F">
        <w:t xml:space="preserve">підприємства </w:t>
      </w:r>
      <w:r>
        <w:t>можна охарактеризувати таким чином:</w:t>
      </w:r>
    </w:p>
    <w:p w:rsidR="00FE7A25" w:rsidRDefault="00FE7A25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</w:pPr>
      <w:r>
        <w:t xml:space="preserve">за </w:t>
      </w:r>
      <w:r w:rsidR="008B0824">
        <w:t>організаційно-правовою формою</w:t>
      </w:r>
      <w:r>
        <w:t xml:space="preserve">: </w:t>
      </w:r>
      <w:r w:rsidR="008B0824">
        <w:t>приватні споживачі, соціальна сфера</w:t>
      </w:r>
      <w:r>
        <w:t>;</w:t>
      </w:r>
    </w:p>
    <w:p w:rsidR="00FE7A25" w:rsidRDefault="00FE7A25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</w:pPr>
      <w:r>
        <w:t xml:space="preserve">за </w:t>
      </w:r>
      <w:r w:rsidR="008B0824">
        <w:t>обсягом споживання</w:t>
      </w:r>
      <w:r>
        <w:t xml:space="preserve">: від </w:t>
      </w:r>
      <w:r w:rsidR="00A8443F">
        <w:t>10 000,00</w:t>
      </w:r>
      <w:r>
        <w:t xml:space="preserve"> грн. на </w:t>
      </w:r>
      <w:r w:rsidR="00A8443F">
        <w:t>рік</w:t>
      </w:r>
      <w:r>
        <w:t xml:space="preserve"> і вище;</w:t>
      </w:r>
    </w:p>
    <w:p w:rsidR="00FE7A25" w:rsidRDefault="00FE7A25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</w:pPr>
      <w:r>
        <w:t xml:space="preserve">за </w:t>
      </w:r>
      <w:r w:rsidR="00A8443F">
        <w:t>продуктом</w:t>
      </w:r>
      <w:r>
        <w:t xml:space="preserve">: </w:t>
      </w:r>
      <w:r w:rsidR="00A8443F">
        <w:t>споживачі теплової енергії, покупці брикетів.</w:t>
      </w:r>
    </w:p>
    <w:p w:rsidR="00FE7A25" w:rsidRDefault="00A8443F">
      <w:pPr>
        <w:spacing w:line="360" w:lineRule="auto"/>
        <w:ind w:firstLine="540"/>
        <w:jc w:val="both"/>
      </w:pPr>
      <w:r>
        <w:t>До основних факторів що дозволяє активно забезпечити діяльність підприємства є його місце розташування, що через здороження паливо-мастильних матеріалів  не  дозволяє вільно конкурувати продавцям вугілля як альтернативи, а також виробникам аналогічної продукції через неблизьку відстань до споживача.</w:t>
      </w:r>
    </w:p>
    <w:p w:rsidR="00FE7A25" w:rsidRDefault="00A8443F">
      <w:pPr>
        <w:spacing w:line="360" w:lineRule="auto"/>
        <w:ind w:firstLine="540"/>
        <w:jc w:val="both"/>
      </w:pPr>
      <w:r>
        <w:t xml:space="preserve">Для району діяльності характерна велика кількість споживачів в приватному секторі, для яких заготівля дров є нереальною через вік (пенсіонери), а купівля </w:t>
      </w:r>
      <w:r w:rsidR="00B237E1">
        <w:t>готових рубаних дров стає неконкурентною відносно паливного брикету. Приватні підприємства також шукають зручну альтернативу.</w:t>
      </w:r>
    </w:p>
    <w:p w:rsidR="00FE7A25" w:rsidRDefault="00FE7A25">
      <w:pPr>
        <w:pStyle w:val="3"/>
        <w:jc w:val="right"/>
        <w:rPr>
          <w:sz w:val="24"/>
        </w:rPr>
      </w:pPr>
      <w:r>
        <w:rPr>
          <w:sz w:val="24"/>
        </w:rPr>
        <w:t>Таблиця 1</w:t>
      </w:r>
    </w:p>
    <w:p w:rsidR="00FE7A25" w:rsidRDefault="00FE7A25">
      <w:pPr>
        <w:pStyle w:val="3"/>
        <w:jc w:val="center"/>
        <w:rPr>
          <w:b/>
          <w:i/>
          <w:sz w:val="24"/>
        </w:rPr>
      </w:pPr>
      <w:r>
        <w:rPr>
          <w:i/>
          <w:sz w:val="28"/>
        </w:rPr>
        <w:t xml:space="preserve">Розрахунок кількості потенційних споживачів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134"/>
        <w:gridCol w:w="2126"/>
        <w:gridCol w:w="1984"/>
      </w:tblGrid>
      <w:tr w:rsidR="00FE7A25">
        <w:trPr>
          <w:trHeight w:val="77"/>
        </w:trPr>
        <w:tc>
          <w:tcPr>
            <w:tcW w:w="4253" w:type="dxa"/>
          </w:tcPr>
          <w:p w:rsidR="00FE7A25" w:rsidRDefault="00FE7A2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Джерело попиту</w:t>
            </w:r>
          </w:p>
        </w:tc>
        <w:tc>
          <w:tcPr>
            <w:tcW w:w="1134" w:type="dxa"/>
          </w:tcPr>
          <w:p w:rsidR="00FE7A25" w:rsidRDefault="00FE7A2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2126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Потреба в Гігакалоріях</w:t>
            </w:r>
          </w:p>
        </w:tc>
        <w:tc>
          <w:tcPr>
            <w:tcW w:w="1984" w:type="dxa"/>
          </w:tcPr>
          <w:p w:rsidR="00FE7A25" w:rsidRDefault="00907865" w:rsidP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Потреба</w:t>
            </w:r>
            <w:r w:rsidR="00FE7A25">
              <w:rPr>
                <w:sz w:val="24"/>
              </w:rPr>
              <w:t xml:space="preserve"> </w:t>
            </w:r>
            <w:r>
              <w:rPr>
                <w:sz w:val="24"/>
              </w:rPr>
              <w:t>в брикетах</w:t>
            </w:r>
          </w:p>
        </w:tc>
      </w:tr>
      <w:tr w:rsidR="00FE7A25">
        <w:trPr>
          <w:trHeight w:val="77"/>
        </w:trPr>
        <w:tc>
          <w:tcPr>
            <w:tcW w:w="4253" w:type="dxa"/>
          </w:tcPr>
          <w:p w:rsidR="00FE7A25" w:rsidRDefault="00907865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Комунальні заклади Берездівської сільської ради</w:t>
            </w:r>
          </w:p>
        </w:tc>
        <w:tc>
          <w:tcPr>
            <w:tcW w:w="113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84" w:type="dxa"/>
          </w:tcPr>
          <w:p w:rsidR="00FE7A25" w:rsidRDefault="00FE7A25">
            <w:pPr>
              <w:pStyle w:val="3"/>
              <w:jc w:val="center"/>
              <w:rPr>
                <w:sz w:val="24"/>
              </w:rPr>
            </w:pPr>
          </w:p>
        </w:tc>
      </w:tr>
      <w:tr w:rsidR="00FE7A25">
        <w:trPr>
          <w:trHeight w:val="287"/>
        </w:trPr>
        <w:tc>
          <w:tcPr>
            <w:tcW w:w="4253" w:type="dxa"/>
          </w:tcPr>
          <w:p w:rsidR="00FE7A25" w:rsidRDefault="00907865">
            <w:pPr>
              <w:pStyle w:val="3"/>
              <w:rPr>
                <w:sz w:val="24"/>
              </w:rPr>
            </w:pPr>
            <w:r>
              <w:rPr>
                <w:sz w:val="24"/>
              </w:rPr>
              <w:t>Комунальні заклади Берездівської сільської ради</w:t>
            </w:r>
          </w:p>
        </w:tc>
        <w:tc>
          <w:tcPr>
            <w:tcW w:w="113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FE7A25" w:rsidRDefault="00FE7A25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500 тонн</w:t>
            </w:r>
          </w:p>
        </w:tc>
      </w:tr>
      <w:tr w:rsidR="00FE7A25">
        <w:trPr>
          <w:trHeight w:val="330"/>
        </w:trPr>
        <w:tc>
          <w:tcPr>
            <w:tcW w:w="4253" w:type="dxa"/>
          </w:tcPr>
          <w:p w:rsidR="00FE7A25" w:rsidRDefault="00907865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Приватні підприємства</w:t>
            </w:r>
          </w:p>
        </w:tc>
        <w:tc>
          <w:tcPr>
            <w:tcW w:w="113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26" w:type="dxa"/>
          </w:tcPr>
          <w:p w:rsidR="00FE7A25" w:rsidRDefault="00FE7A25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600 тонн</w:t>
            </w:r>
          </w:p>
        </w:tc>
      </w:tr>
      <w:tr w:rsidR="00907865">
        <w:trPr>
          <w:trHeight w:val="330"/>
        </w:trPr>
        <w:tc>
          <w:tcPr>
            <w:tcW w:w="4253" w:type="dxa"/>
          </w:tcPr>
          <w:p w:rsidR="00907865" w:rsidRDefault="00907865" w:rsidP="009D3F9B">
            <w:pPr>
              <w:pStyle w:val="3"/>
              <w:rPr>
                <w:sz w:val="24"/>
              </w:rPr>
            </w:pPr>
            <w:r>
              <w:rPr>
                <w:sz w:val="24"/>
              </w:rPr>
              <w:t>Місцеве населення (кількість дворів)</w:t>
            </w:r>
          </w:p>
        </w:tc>
        <w:tc>
          <w:tcPr>
            <w:tcW w:w="1134" w:type="dxa"/>
          </w:tcPr>
          <w:p w:rsidR="00907865" w:rsidRDefault="00907865" w:rsidP="009D3F9B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2126" w:type="dxa"/>
          </w:tcPr>
          <w:p w:rsidR="00907865" w:rsidRDefault="00907865" w:rsidP="009D3F9B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907865" w:rsidRDefault="00907865" w:rsidP="009D3F9B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40 000 тонн</w:t>
            </w:r>
          </w:p>
        </w:tc>
      </w:tr>
      <w:tr w:rsidR="00FE7A25">
        <w:trPr>
          <w:trHeight w:val="330"/>
        </w:trPr>
        <w:tc>
          <w:tcPr>
            <w:tcW w:w="4253" w:type="dxa"/>
          </w:tcPr>
          <w:p w:rsidR="00FE7A25" w:rsidRDefault="00907865">
            <w:pPr>
              <w:pStyle w:val="3"/>
              <w:rPr>
                <w:sz w:val="24"/>
              </w:rPr>
            </w:pPr>
            <w:r>
              <w:rPr>
                <w:sz w:val="24"/>
              </w:rPr>
              <w:t>Споживачі за межами громади</w:t>
            </w:r>
          </w:p>
        </w:tc>
        <w:tc>
          <w:tcPr>
            <w:tcW w:w="113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2126" w:type="dxa"/>
          </w:tcPr>
          <w:p w:rsidR="00FE7A25" w:rsidRDefault="00FE7A25">
            <w:pPr>
              <w:pStyle w:val="3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50 000 тонн</w:t>
            </w:r>
          </w:p>
        </w:tc>
      </w:tr>
      <w:tr w:rsidR="00FE7A25">
        <w:trPr>
          <w:trHeight w:val="330"/>
        </w:trPr>
        <w:tc>
          <w:tcPr>
            <w:tcW w:w="4253" w:type="dxa"/>
          </w:tcPr>
          <w:p w:rsidR="00FE7A25" w:rsidRDefault="00FE7A25">
            <w:pPr>
              <w:pStyle w:val="3"/>
              <w:rPr>
                <w:sz w:val="24"/>
              </w:rPr>
            </w:pPr>
            <w:r>
              <w:rPr>
                <w:sz w:val="24"/>
              </w:rPr>
              <w:t>Разом</w:t>
            </w:r>
          </w:p>
        </w:tc>
        <w:tc>
          <w:tcPr>
            <w:tcW w:w="113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9072</w:t>
            </w:r>
          </w:p>
        </w:tc>
        <w:tc>
          <w:tcPr>
            <w:tcW w:w="2126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984" w:type="dxa"/>
          </w:tcPr>
          <w:p w:rsidR="00FE7A25" w:rsidRDefault="0090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91 100 тонн</w:t>
            </w:r>
          </w:p>
        </w:tc>
      </w:tr>
    </w:tbl>
    <w:p w:rsidR="00FE7A25" w:rsidRDefault="00FE7A25">
      <w:pPr>
        <w:jc w:val="center"/>
      </w:pPr>
    </w:p>
    <w:p w:rsidR="00FE7A25" w:rsidRDefault="00FE7A25">
      <w:pPr>
        <w:jc w:val="center"/>
      </w:pPr>
    </w:p>
    <w:p w:rsidR="00F91836" w:rsidRDefault="00F91836">
      <w:r>
        <w:br w:type="page"/>
      </w:r>
    </w:p>
    <w:p w:rsidR="00FE7A25" w:rsidRDefault="00FE7A25">
      <w:pPr>
        <w:jc w:val="center"/>
      </w:pPr>
    </w:p>
    <w:p w:rsidR="00FE7A25" w:rsidRDefault="00FE7A25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3. Аналіз стану справ у галузі та оцінка конкурентоздатності</w:t>
      </w:r>
    </w:p>
    <w:p w:rsidR="00F91836" w:rsidRDefault="00907865">
      <w:pPr>
        <w:spacing w:line="360" w:lineRule="auto"/>
        <w:ind w:firstLine="540"/>
        <w:jc w:val="both"/>
      </w:pPr>
      <w:r>
        <w:t xml:space="preserve">Останнім часом альтернативні джерела енергії набули неабиякої популярності через покращення технологій виробництва, </w:t>
      </w:r>
      <w:r w:rsidR="00F91836">
        <w:t>здорожання</w:t>
      </w:r>
      <w:r>
        <w:t xml:space="preserve"> традиційних викопних джерел енергії, </w:t>
      </w:r>
      <w:r w:rsidR="00F91836">
        <w:t>логістику. Через підвищену зацікавленість у споживача відбулося зростання цін на паливні брикети, як відносно минулого року, так і відносно інших джерел енергії, що говорить про доцільність виробництва. Аналіз цін конкурентів говорить про те що наш продукт може бути конкурентоздатним на нашому ринку, а також створювати конкуренцію на найближчих ринках транспортування продукції до яких є не довшим аніж 120 км. Що стосується продажу теплової енергії то на даному ринку в регіоні гравці відсутні, або носять точковий характер, і через логістику свою прибутковість здатні забезпечувати лише з використанням котлів потужністю більше 300 кВт, які на малих опалювальних площах не встановлюються.</w:t>
      </w:r>
    </w:p>
    <w:p w:rsidR="00FE7A25" w:rsidRDefault="00FE7A25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</w:p>
    <w:p w:rsidR="00FE7A25" w:rsidRDefault="00FE7A25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4. План маркетингу</w:t>
      </w:r>
    </w:p>
    <w:p w:rsidR="00FE7A25" w:rsidRDefault="00FE7A25">
      <w:pPr>
        <w:spacing w:line="360" w:lineRule="auto"/>
        <w:ind w:firstLine="567"/>
        <w:jc w:val="both"/>
      </w:pPr>
      <w:r>
        <w:t xml:space="preserve">Найближчим часом діяльність </w:t>
      </w:r>
      <w:r w:rsidR="00794ABF">
        <w:t>підприємства</w:t>
      </w:r>
      <w:r>
        <w:t xml:space="preserve"> має бути спрямована на те, щоб охопити якомога більшу кількість споживачів потенційного ринку, та  на завоювання популярності серед клієнтів. </w:t>
      </w:r>
      <w:r w:rsidR="00794ABF">
        <w:t>Для того щоб за найшвидший час вийти на нові потужності, щоб охопити все більшу і більшу частину ринку. Дослідження попиту показали цікавість потенційних покупців до продукції, їх також зацікавила можливість неодноразової поставки, а часткових поставок, через відсутність складів та можливості ефективно використовувати приміщення і виробничі фонди. Не малу роль відіграє ціна на продукцію, яка з доставкою на 15-20% нижча за ціну що пропонують конкуренти. Враховуючи новизну товару необхідно провести маркетингову акцію, шляхом безкоштовного забезпечення їх потреб в опаленні нашим продуктом на один день, що дасть змогу пришвидшити «знайомство» споживача з нашою продукцією, а також показати її якісні переваги. Для кращої реалізації пропонується приймати участь в різного роду виставках, що проходять на теренах громади, і сусідних регіонах.</w:t>
      </w:r>
    </w:p>
    <w:p w:rsidR="001E7527" w:rsidRDefault="00794ABF">
      <w:pPr>
        <w:spacing w:line="360" w:lineRule="auto"/>
        <w:ind w:firstLine="567"/>
        <w:jc w:val="both"/>
      </w:pPr>
      <w:r>
        <w:t>Що стосується продажу тепла найкращим аргументом є ціна, яка є на 10-20%</w:t>
      </w:r>
      <w:r w:rsidR="001E7527">
        <w:t xml:space="preserve"> нижча конкурентів.</w:t>
      </w:r>
    </w:p>
    <w:p w:rsidR="001E7527" w:rsidRDefault="001E7527">
      <w:r>
        <w:br w:type="page"/>
      </w:r>
    </w:p>
    <w:p w:rsidR="00FE7A25" w:rsidRDefault="00FE7A25">
      <w:pPr>
        <w:jc w:val="center"/>
      </w:pPr>
    </w:p>
    <w:p w:rsidR="00FE7A25" w:rsidRDefault="00FE7A25">
      <w:pPr>
        <w:numPr>
          <w:ilvl w:val="0"/>
          <w:numId w:val="1"/>
        </w:num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Виробничий план</w:t>
      </w:r>
    </w:p>
    <w:p w:rsidR="00FE7A25" w:rsidRDefault="001E7527">
      <w:pPr>
        <w:spacing w:line="360" w:lineRule="auto"/>
        <w:ind w:firstLine="540"/>
        <w:jc w:val="both"/>
      </w:pPr>
      <w:r>
        <w:t>Для ефективного виробництва необхідно повністю створити матеріальну базу</w:t>
      </w:r>
      <w:r w:rsidR="00FE7A25">
        <w:t xml:space="preserve">. В таблиці представлено основні засоби, необхідні для успішного функціонування </w:t>
      </w:r>
      <w:r>
        <w:t>підприємства</w:t>
      </w:r>
      <w:r w:rsidR="00FE7A25">
        <w:t>.</w:t>
      </w:r>
    </w:p>
    <w:p w:rsidR="00FE7A25" w:rsidRDefault="001E7527">
      <w:pPr>
        <w:ind w:firstLine="540"/>
        <w:jc w:val="right"/>
      </w:pPr>
      <w:r>
        <w:t>Таблиця 2</w:t>
      </w:r>
    </w:p>
    <w:p w:rsidR="00FE7A25" w:rsidRDefault="00FE7A25">
      <w:pPr>
        <w:jc w:val="center"/>
        <w:rPr>
          <w:b/>
          <w:i/>
          <w:sz w:val="28"/>
        </w:rPr>
      </w:pPr>
      <w:r>
        <w:rPr>
          <w:i/>
          <w:sz w:val="28"/>
        </w:rPr>
        <w:t xml:space="preserve">Основні засоби  </w:t>
      </w:r>
      <w:r w:rsidR="001E7527" w:rsidRPr="00056113">
        <w:rPr>
          <w:i/>
          <w:sz w:val="28"/>
        </w:rPr>
        <w:t>ТОВ</w:t>
      </w:r>
      <w:r w:rsidR="001E7527" w:rsidRPr="001E7527">
        <w:rPr>
          <w:i/>
          <w:sz w:val="28"/>
        </w:rPr>
        <w:t xml:space="preserve"> «</w:t>
      </w:r>
      <w:r w:rsidR="001E7527" w:rsidRPr="001E7527">
        <w:rPr>
          <w:i/>
          <w:sz w:val="28"/>
          <w:lang w:val="en-US"/>
        </w:rPr>
        <w:t>Green</w:t>
      </w:r>
      <w:r w:rsidR="001E7527" w:rsidRPr="00056113">
        <w:rPr>
          <w:i/>
          <w:sz w:val="28"/>
        </w:rPr>
        <w:t xml:space="preserve"> </w:t>
      </w:r>
      <w:r w:rsidR="001E7527" w:rsidRPr="001E7527">
        <w:rPr>
          <w:i/>
          <w:sz w:val="28"/>
        </w:rPr>
        <w:t>Energy»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700"/>
        <w:gridCol w:w="1541"/>
        <w:gridCol w:w="1248"/>
        <w:gridCol w:w="1256"/>
        <w:gridCol w:w="1205"/>
        <w:gridCol w:w="1718"/>
      </w:tblGrid>
      <w:tr w:rsidR="00FE7A25">
        <w:tc>
          <w:tcPr>
            <w:tcW w:w="1979" w:type="dxa"/>
            <w:vAlign w:val="center"/>
          </w:tcPr>
          <w:p w:rsidR="00FE7A25" w:rsidRDefault="00FE7A25">
            <w:pPr>
              <w:jc w:val="center"/>
            </w:pPr>
            <w:r>
              <w:t>Найменування</w:t>
            </w:r>
          </w:p>
        </w:tc>
        <w:tc>
          <w:tcPr>
            <w:tcW w:w="700" w:type="dxa"/>
            <w:vAlign w:val="center"/>
          </w:tcPr>
          <w:p w:rsidR="00FE7A25" w:rsidRDefault="00FE7A25">
            <w:pPr>
              <w:jc w:val="center"/>
            </w:pPr>
            <w:r>
              <w:t>Кіль-кість</w:t>
            </w:r>
          </w:p>
        </w:tc>
        <w:tc>
          <w:tcPr>
            <w:tcW w:w="1541" w:type="dxa"/>
            <w:vAlign w:val="center"/>
          </w:tcPr>
          <w:p w:rsidR="00FE7A25" w:rsidRDefault="00FE7A25">
            <w:pPr>
              <w:jc w:val="center"/>
            </w:pPr>
            <w:r>
              <w:t>Купівля чи оренда</w:t>
            </w:r>
          </w:p>
        </w:tc>
        <w:tc>
          <w:tcPr>
            <w:tcW w:w="1248" w:type="dxa"/>
            <w:vAlign w:val="center"/>
          </w:tcPr>
          <w:p w:rsidR="00FE7A25" w:rsidRDefault="00FE7A25">
            <w:pPr>
              <w:jc w:val="center"/>
            </w:pPr>
            <w:r>
              <w:t>Нове чи вживане</w:t>
            </w:r>
          </w:p>
        </w:tc>
        <w:tc>
          <w:tcPr>
            <w:tcW w:w="1256" w:type="dxa"/>
            <w:vAlign w:val="center"/>
          </w:tcPr>
          <w:p w:rsidR="00FE7A25" w:rsidRDefault="00FE7A25">
            <w:pPr>
              <w:jc w:val="center"/>
            </w:pPr>
            <w:r>
              <w:t>Вартість, тис. грн.</w:t>
            </w:r>
          </w:p>
        </w:tc>
        <w:tc>
          <w:tcPr>
            <w:tcW w:w="1205" w:type="dxa"/>
            <w:vAlign w:val="center"/>
          </w:tcPr>
          <w:p w:rsidR="00FE7A25" w:rsidRDefault="00FE7A25">
            <w:pPr>
              <w:jc w:val="center"/>
            </w:pPr>
            <w:r>
              <w:t>Термін служби, роки</w:t>
            </w:r>
          </w:p>
        </w:tc>
        <w:tc>
          <w:tcPr>
            <w:tcW w:w="1718" w:type="dxa"/>
            <w:vAlign w:val="center"/>
          </w:tcPr>
          <w:p w:rsidR="00FE7A25" w:rsidRDefault="00FE7A25">
            <w:pPr>
              <w:jc w:val="center"/>
            </w:pPr>
            <w:r>
              <w:t>Амортизаційні відрахування за рік, тис. грн.</w:t>
            </w:r>
          </w:p>
        </w:tc>
      </w:tr>
      <w:tr w:rsidR="00FE7A25">
        <w:trPr>
          <w:trHeight w:val="77"/>
        </w:trPr>
        <w:tc>
          <w:tcPr>
            <w:tcW w:w="1979" w:type="dxa"/>
            <w:vAlign w:val="center"/>
          </w:tcPr>
          <w:p w:rsidR="00FE7A25" w:rsidRDefault="0065655F">
            <w:pPr>
              <w:jc w:val="center"/>
            </w:pPr>
            <w:r>
              <w:t>Лінія по брикетуванню</w:t>
            </w:r>
          </w:p>
        </w:tc>
        <w:tc>
          <w:tcPr>
            <w:tcW w:w="700" w:type="dxa"/>
            <w:vAlign w:val="center"/>
          </w:tcPr>
          <w:p w:rsidR="00FE7A25" w:rsidRDefault="00FE7A25">
            <w:pPr>
              <w:jc w:val="center"/>
            </w:pPr>
            <w:r>
              <w:t>1</w:t>
            </w:r>
          </w:p>
        </w:tc>
        <w:tc>
          <w:tcPr>
            <w:tcW w:w="1541" w:type="dxa"/>
            <w:vAlign w:val="center"/>
          </w:tcPr>
          <w:p w:rsidR="00FE7A25" w:rsidRDefault="00FE7A25">
            <w:pPr>
              <w:jc w:val="center"/>
            </w:pPr>
            <w:r>
              <w:t>Купівля</w:t>
            </w:r>
          </w:p>
        </w:tc>
        <w:tc>
          <w:tcPr>
            <w:tcW w:w="1248" w:type="dxa"/>
            <w:vAlign w:val="center"/>
          </w:tcPr>
          <w:p w:rsidR="00FE7A25" w:rsidRDefault="00FE7A25" w:rsidP="0065655F">
            <w:pPr>
              <w:jc w:val="center"/>
            </w:pPr>
            <w:r>
              <w:t>Нов</w:t>
            </w:r>
            <w:r w:rsidR="0065655F">
              <w:t>ий</w:t>
            </w:r>
          </w:p>
        </w:tc>
        <w:tc>
          <w:tcPr>
            <w:tcW w:w="1256" w:type="dxa"/>
            <w:vAlign w:val="center"/>
          </w:tcPr>
          <w:p w:rsidR="00FE7A25" w:rsidRDefault="0065655F">
            <w:pPr>
              <w:jc w:val="center"/>
            </w:pPr>
            <w:r>
              <w:t>825,0</w:t>
            </w:r>
          </w:p>
        </w:tc>
        <w:tc>
          <w:tcPr>
            <w:tcW w:w="1205" w:type="dxa"/>
            <w:vAlign w:val="center"/>
          </w:tcPr>
          <w:p w:rsidR="00FE7A25" w:rsidRDefault="0065655F">
            <w:pPr>
              <w:jc w:val="center"/>
            </w:pPr>
            <w:r>
              <w:t>15</w:t>
            </w:r>
          </w:p>
        </w:tc>
        <w:tc>
          <w:tcPr>
            <w:tcW w:w="1718" w:type="dxa"/>
            <w:vAlign w:val="center"/>
          </w:tcPr>
          <w:p w:rsidR="00FE7A25" w:rsidRDefault="0065655F">
            <w:pPr>
              <w:jc w:val="center"/>
            </w:pPr>
            <w:r>
              <w:t>55,0</w:t>
            </w:r>
          </w:p>
        </w:tc>
      </w:tr>
      <w:tr w:rsidR="00FE7A25">
        <w:tc>
          <w:tcPr>
            <w:tcW w:w="1979" w:type="dxa"/>
            <w:vAlign w:val="center"/>
          </w:tcPr>
          <w:p w:rsidR="00FE7A25" w:rsidRDefault="0065655F">
            <w:pPr>
              <w:jc w:val="center"/>
            </w:pPr>
            <w:r>
              <w:t>Котел твердопаливний</w:t>
            </w:r>
          </w:p>
        </w:tc>
        <w:tc>
          <w:tcPr>
            <w:tcW w:w="700" w:type="dxa"/>
            <w:vAlign w:val="center"/>
          </w:tcPr>
          <w:p w:rsidR="00FE7A25" w:rsidRDefault="00FE7A25">
            <w:pPr>
              <w:jc w:val="center"/>
            </w:pPr>
            <w:r>
              <w:t>1</w:t>
            </w:r>
          </w:p>
        </w:tc>
        <w:tc>
          <w:tcPr>
            <w:tcW w:w="1541" w:type="dxa"/>
            <w:vAlign w:val="center"/>
          </w:tcPr>
          <w:p w:rsidR="00FE7A25" w:rsidRDefault="00FE7A25">
            <w:pPr>
              <w:jc w:val="center"/>
            </w:pPr>
            <w:r>
              <w:t>Купівля</w:t>
            </w:r>
          </w:p>
        </w:tc>
        <w:tc>
          <w:tcPr>
            <w:tcW w:w="1248" w:type="dxa"/>
            <w:vAlign w:val="center"/>
          </w:tcPr>
          <w:p w:rsidR="00FE7A25" w:rsidRDefault="00FE7A25" w:rsidP="0065655F">
            <w:pPr>
              <w:jc w:val="center"/>
            </w:pPr>
            <w:r>
              <w:t>Нов</w:t>
            </w:r>
            <w:r w:rsidR="0065655F">
              <w:t>ий</w:t>
            </w:r>
          </w:p>
        </w:tc>
        <w:tc>
          <w:tcPr>
            <w:tcW w:w="1256" w:type="dxa"/>
            <w:vAlign w:val="center"/>
          </w:tcPr>
          <w:p w:rsidR="00FE7A25" w:rsidRDefault="0065655F">
            <w:pPr>
              <w:jc w:val="center"/>
            </w:pPr>
            <w:r>
              <w:t>180,0</w:t>
            </w:r>
          </w:p>
        </w:tc>
        <w:tc>
          <w:tcPr>
            <w:tcW w:w="1205" w:type="dxa"/>
            <w:vAlign w:val="center"/>
          </w:tcPr>
          <w:p w:rsidR="00FE7A25" w:rsidRDefault="0065655F">
            <w:pPr>
              <w:jc w:val="center"/>
            </w:pPr>
            <w:r>
              <w:t>10</w:t>
            </w:r>
          </w:p>
        </w:tc>
        <w:tc>
          <w:tcPr>
            <w:tcW w:w="1718" w:type="dxa"/>
            <w:vAlign w:val="center"/>
          </w:tcPr>
          <w:p w:rsidR="00FE7A25" w:rsidRDefault="0065655F">
            <w:pPr>
              <w:jc w:val="center"/>
            </w:pPr>
            <w:r>
              <w:t>18,0</w:t>
            </w:r>
          </w:p>
        </w:tc>
      </w:tr>
    </w:tbl>
    <w:p w:rsidR="00FE7A25" w:rsidRDefault="0065655F">
      <w:pPr>
        <w:spacing w:line="360" w:lineRule="auto"/>
        <w:ind w:firstLine="540"/>
        <w:jc w:val="both"/>
      </w:pPr>
      <w:r>
        <w:t xml:space="preserve">Виробництво продукції залежить від </w:t>
      </w:r>
      <w:r w:rsidR="00FE7A25">
        <w:t>налагодженого постачання сировини та</w:t>
      </w:r>
      <w:r>
        <w:t>.</w:t>
      </w:r>
      <w:r w:rsidR="00FE7A25">
        <w:t xml:space="preserve">  Інформація про джерела постачання оформлені в таблиці </w:t>
      </w:r>
      <w:r>
        <w:t>3</w:t>
      </w:r>
      <w:r w:rsidR="00FE7A25">
        <w:t xml:space="preserve">, де зазначені основні умови для укладання угод з постачальниками на </w:t>
      </w:r>
      <w:r>
        <w:t>сировину</w:t>
      </w:r>
      <w:r w:rsidR="00FE7A25">
        <w:t>, продукції, напівфабрикатів, форма оплати, види поставок, методи завозу, тощо.</w:t>
      </w:r>
    </w:p>
    <w:p w:rsidR="00FE7A25" w:rsidRDefault="0065655F">
      <w:pPr>
        <w:spacing w:line="360" w:lineRule="auto"/>
        <w:ind w:firstLine="540"/>
        <w:jc w:val="right"/>
      </w:pPr>
      <w:r>
        <w:t>Таблиця 3</w:t>
      </w:r>
    </w:p>
    <w:p w:rsidR="00FE7A25" w:rsidRDefault="00FE7A25">
      <w:pPr>
        <w:jc w:val="center"/>
        <w:rPr>
          <w:i/>
          <w:sz w:val="28"/>
        </w:rPr>
      </w:pPr>
      <w:r>
        <w:rPr>
          <w:i/>
          <w:sz w:val="28"/>
        </w:rPr>
        <w:t>Форма плану постачання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1698"/>
        <w:gridCol w:w="2412"/>
        <w:gridCol w:w="848"/>
        <w:gridCol w:w="1417"/>
        <w:gridCol w:w="1418"/>
        <w:gridCol w:w="1437"/>
      </w:tblGrid>
      <w:tr w:rsidR="00FE7A25" w:rsidTr="0065655F">
        <w:trPr>
          <w:cantSplit/>
          <w:trHeight w:val="390"/>
          <w:jc w:val="center"/>
        </w:trPr>
        <w:tc>
          <w:tcPr>
            <w:tcW w:w="452" w:type="dxa"/>
            <w:vMerge w:val="restart"/>
            <w:vAlign w:val="center"/>
          </w:tcPr>
          <w:p w:rsidR="00FE7A25" w:rsidRDefault="00FE7A25">
            <w:pPr>
              <w:jc w:val="center"/>
            </w:pPr>
            <w:r>
              <w:t>№</w:t>
            </w:r>
          </w:p>
        </w:tc>
        <w:tc>
          <w:tcPr>
            <w:tcW w:w="1698" w:type="dxa"/>
            <w:vMerge w:val="restart"/>
            <w:vAlign w:val="center"/>
          </w:tcPr>
          <w:p w:rsidR="00FE7A25" w:rsidRDefault="00FE7A25">
            <w:pPr>
              <w:jc w:val="center"/>
            </w:pPr>
            <w:r>
              <w:t>Постачаль-ник</w:t>
            </w:r>
          </w:p>
        </w:tc>
        <w:tc>
          <w:tcPr>
            <w:tcW w:w="2412" w:type="dxa"/>
            <w:vMerge w:val="restart"/>
            <w:vAlign w:val="center"/>
          </w:tcPr>
          <w:p w:rsidR="00FE7A25" w:rsidRDefault="00FE7A25">
            <w:pPr>
              <w:jc w:val="center"/>
            </w:pPr>
            <w:r>
              <w:t>Характеристика сировини, напівфабрикатів</w:t>
            </w:r>
          </w:p>
        </w:tc>
        <w:tc>
          <w:tcPr>
            <w:tcW w:w="5120" w:type="dxa"/>
            <w:gridSpan w:val="4"/>
            <w:vAlign w:val="center"/>
          </w:tcPr>
          <w:p w:rsidR="00FE7A25" w:rsidRDefault="00FE7A25">
            <w:pPr>
              <w:jc w:val="center"/>
            </w:pPr>
            <w:r>
              <w:t>Основні умови постачання</w:t>
            </w:r>
          </w:p>
        </w:tc>
      </w:tr>
      <w:tr w:rsidR="00FE7A25" w:rsidTr="0065655F">
        <w:trPr>
          <w:cantSplit/>
          <w:trHeight w:val="77"/>
          <w:jc w:val="center"/>
        </w:trPr>
        <w:tc>
          <w:tcPr>
            <w:tcW w:w="452" w:type="dxa"/>
            <w:vMerge/>
            <w:vAlign w:val="center"/>
          </w:tcPr>
          <w:p w:rsidR="00FE7A25" w:rsidRDefault="00FE7A25">
            <w:pPr>
              <w:jc w:val="center"/>
            </w:pPr>
          </w:p>
        </w:tc>
        <w:tc>
          <w:tcPr>
            <w:tcW w:w="1698" w:type="dxa"/>
            <w:vMerge/>
            <w:vAlign w:val="center"/>
          </w:tcPr>
          <w:p w:rsidR="00FE7A25" w:rsidRDefault="00FE7A25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FE7A25" w:rsidRDefault="00FE7A25">
            <w:pPr>
              <w:jc w:val="center"/>
            </w:pPr>
          </w:p>
        </w:tc>
        <w:tc>
          <w:tcPr>
            <w:tcW w:w="848" w:type="dxa"/>
            <w:vAlign w:val="center"/>
          </w:tcPr>
          <w:p w:rsidR="00FE7A25" w:rsidRDefault="00FE7A25">
            <w:pPr>
              <w:jc w:val="center"/>
            </w:pPr>
            <w:r>
              <w:t>Види</w:t>
            </w:r>
          </w:p>
          <w:p w:rsidR="00FE7A25" w:rsidRDefault="00FE7A25">
            <w:pPr>
              <w:jc w:val="center"/>
            </w:pPr>
            <w:r>
              <w:t>поставок</w:t>
            </w:r>
          </w:p>
        </w:tc>
        <w:tc>
          <w:tcPr>
            <w:tcW w:w="1417" w:type="dxa"/>
            <w:vAlign w:val="center"/>
          </w:tcPr>
          <w:p w:rsidR="00FE7A25" w:rsidRDefault="00FE7A25">
            <w:pPr>
              <w:jc w:val="center"/>
            </w:pPr>
            <w:r>
              <w:t>Методи</w:t>
            </w:r>
          </w:p>
          <w:p w:rsidR="00FE7A25" w:rsidRDefault="00FE7A25">
            <w:pPr>
              <w:jc w:val="center"/>
            </w:pPr>
            <w:r>
              <w:t>завозу</w:t>
            </w:r>
          </w:p>
        </w:tc>
        <w:tc>
          <w:tcPr>
            <w:tcW w:w="1418" w:type="dxa"/>
            <w:vAlign w:val="center"/>
          </w:tcPr>
          <w:p w:rsidR="00FE7A25" w:rsidRDefault="00FE7A25">
            <w:pPr>
              <w:jc w:val="center"/>
            </w:pPr>
            <w:r>
              <w:t>Форма</w:t>
            </w:r>
          </w:p>
          <w:p w:rsidR="00FE7A25" w:rsidRDefault="00FE7A25">
            <w:pPr>
              <w:jc w:val="center"/>
            </w:pPr>
            <w:r>
              <w:t>оплати</w:t>
            </w:r>
          </w:p>
        </w:tc>
        <w:tc>
          <w:tcPr>
            <w:tcW w:w="1437" w:type="dxa"/>
            <w:vAlign w:val="center"/>
          </w:tcPr>
          <w:p w:rsidR="00FE7A25" w:rsidRDefault="00FE7A25">
            <w:pPr>
              <w:jc w:val="center"/>
            </w:pPr>
            <w:r>
              <w:t>Інші</w:t>
            </w:r>
          </w:p>
          <w:p w:rsidR="00FE7A25" w:rsidRDefault="00FE7A25">
            <w:pPr>
              <w:jc w:val="center"/>
            </w:pPr>
            <w:r>
              <w:t>умови</w:t>
            </w:r>
          </w:p>
        </w:tc>
      </w:tr>
      <w:tr w:rsidR="00FE7A25" w:rsidTr="0065655F">
        <w:trPr>
          <w:cantSplit/>
          <w:trHeight w:val="77"/>
          <w:jc w:val="center"/>
        </w:trPr>
        <w:tc>
          <w:tcPr>
            <w:tcW w:w="452" w:type="dxa"/>
            <w:vAlign w:val="center"/>
          </w:tcPr>
          <w:p w:rsidR="00FE7A25" w:rsidRDefault="00FE7A25">
            <w:pPr>
              <w:jc w:val="center"/>
            </w:pPr>
            <w:r>
              <w:t>1</w:t>
            </w:r>
          </w:p>
        </w:tc>
        <w:tc>
          <w:tcPr>
            <w:tcW w:w="1698" w:type="dxa"/>
            <w:vAlign w:val="center"/>
          </w:tcPr>
          <w:p w:rsidR="00FE7A25" w:rsidRDefault="0065655F">
            <w:pPr>
              <w:jc w:val="center"/>
            </w:pPr>
            <w:r>
              <w:t>СТОВ «Бесідки»</w:t>
            </w:r>
          </w:p>
        </w:tc>
        <w:tc>
          <w:tcPr>
            <w:tcW w:w="2412" w:type="dxa"/>
            <w:vAlign w:val="center"/>
          </w:tcPr>
          <w:p w:rsidR="00FE7A25" w:rsidRDefault="0065655F">
            <w:pPr>
              <w:jc w:val="center"/>
            </w:pPr>
            <w:r>
              <w:t>Солома в квадратних тюках</w:t>
            </w:r>
          </w:p>
        </w:tc>
        <w:tc>
          <w:tcPr>
            <w:tcW w:w="848" w:type="dxa"/>
            <w:vAlign w:val="center"/>
          </w:tcPr>
          <w:p w:rsidR="00FE7A25" w:rsidRDefault="0065655F">
            <w:pPr>
              <w:jc w:val="center"/>
            </w:pPr>
            <w:r>
              <w:t>Сезон</w:t>
            </w:r>
          </w:p>
        </w:tc>
        <w:tc>
          <w:tcPr>
            <w:tcW w:w="1417" w:type="dxa"/>
            <w:vAlign w:val="center"/>
          </w:tcPr>
          <w:p w:rsidR="00FE7A25" w:rsidRDefault="002C469C">
            <w:pPr>
              <w:jc w:val="center"/>
            </w:pPr>
            <w:r>
              <w:t>Доставка</w:t>
            </w:r>
          </w:p>
        </w:tc>
        <w:tc>
          <w:tcPr>
            <w:tcW w:w="1418" w:type="dxa"/>
            <w:vAlign w:val="center"/>
          </w:tcPr>
          <w:p w:rsidR="00FE7A25" w:rsidRDefault="00FE7A25">
            <w:pPr>
              <w:jc w:val="center"/>
            </w:pPr>
            <w:r>
              <w:t>Безготів-кова</w:t>
            </w:r>
          </w:p>
        </w:tc>
        <w:tc>
          <w:tcPr>
            <w:tcW w:w="1437" w:type="dxa"/>
            <w:vAlign w:val="center"/>
          </w:tcPr>
          <w:p w:rsidR="00FE7A25" w:rsidRDefault="00FE7A25">
            <w:pPr>
              <w:jc w:val="center"/>
            </w:pPr>
            <w:r>
              <w:t>Відстрочка платежу</w:t>
            </w:r>
          </w:p>
        </w:tc>
      </w:tr>
      <w:tr w:rsidR="00FE7A25" w:rsidTr="0065655F">
        <w:trPr>
          <w:cantSplit/>
          <w:trHeight w:val="77"/>
          <w:jc w:val="center"/>
        </w:trPr>
        <w:tc>
          <w:tcPr>
            <w:tcW w:w="452" w:type="dxa"/>
            <w:vAlign w:val="center"/>
          </w:tcPr>
          <w:p w:rsidR="00FE7A25" w:rsidRDefault="00FE7A25">
            <w:pPr>
              <w:jc w:val="center"/>
            </w:pPr>
            <w:r>
              <w:t>2</w:t>
            </w:r>
          </w:p>
        </w:tc>
        <w:tc>
          <w:tcPr>
            <w:tcW w:w="1698" w:type="dxa"/>
            <w:vAlign w:val="center"/>
          </w:tcPr>
          <w:p w:rsidR="00FE7A25" w:rsidRDefault="0065655F">
            <w:pPr>
              <w:jc w:val="center"/>
            </w:pPr>
            <w:r>
              <w:t>ФГ «Обрій»</w:t>
            </w:r>
          </w:p>
        </w:tc>
        <w:tc>
          <w:tcPr>
            <w:tcW w:w="2412" w:type="dxa"/>
            <w:vAlign w:val="center"/>
          </w:tcPr>
          <w:p w:rsidR="00FE7A25" w:rsidRDefault="0065655F">
            <w:pPr>
              <w:jc w:val="center"/>
            </w:pPr>
            <w:r>
              <w:t>Солома в квадратних тюках</w:t>
            </w:r>
          </w:p>
        </w:tc>
        <w:tc>
          <w:tcPr>
            <w:tcW w:w="848" w:type="dxa"/>
            <w:vAlign w:val="center"/>
          </w:tcPr>
          <w:p w:rsidR="00FE7A25" w:rsidRDefault="0065655F">
            <w:pPr>
              <w:jc w:val="center"/>
            </w:pPr>
            <w:r>
              <w:t>Сезон</w:t>
            </w:r>
          </w:p>
        </w:tc>
        <w:tc>
          <w:tcPr>
            <w:tcW w:w="1417" w:type="dxa"/>
            <w:vAlign w:val="center"/>
          </w:tcPr>
          <w:p w:rsidR="00FE7A25" w:rsidRDefault="002C469C">
            <w:pPr>
              <w:jc w:val="center"/>
            </w:pPr>
            <w:r>
              <w:t>Доставка</w:t>
            </w:r>
          </w:p>
        </w:tc>
        <w:tc>
          <w:tcPr>
            <w:tcW w:w="1418" w:type="dxa"/>
            <w:vAlign w:val="center"/>
          </w:tcPr>
          <w:p w:rsidR="00FE7A25" w:rsidRDefault="0065655F">
            <w:pPr>
              <w:jc w:val="center"/>
            </w:pPr>
            <w:r>
              <w:t>Безготів-кова</w:t>
            </w:r>
          </w:p>
        </w:tc>
        <w:tc>
          <w:tcPr>
            <w:tcW w:w="1437" w:type="dxa"/>
            <w:vAlign w:val="center"/>
          </w:tcPr>
          <w:p w:rsidR="00FE7A25" w:rsidRDefault="0065655F">
            <w:pPr>
              <w:jc w:val="center"/>
            </w:pPr>
            <w:r>
              <w:t>Відстрочка платежу</w:t>
            </w:r>
          </w:p>
        </w:tc>
      </w:tr>
      <w:tr w:rsidR="00FE7A25" w:rsidTr="0065655F">
        <w:trPr>
          <w:cantSplit/>
          <w:trHeight w:val="77"/>
          <w:jc w:val="center"/>
        </w:trPr>
        <w:tc>
          <w:tcPr>
            <w:tcW w:w="452" w:type="dxa"/>
            <w:vAlign w:val="center"/>
          </w:tcPr>
          <w:p w:rsidR="00FE7A25" w:rsidRDefault="00FE7A25">
            <w:pPr>
              <w:jc w:val="center"/>
            </w:pPr>
            <w:r>
              <w:t>3</w:t>
            </w:r>
          </w:p>
        </w:tc>
        <w:tc>
          <w:tcPr>
            <w:tcW w:w="1698" w:type="dxa"/>
            <w:vAlign w:val="center"/>
          </w:tcPr>
          <w:p w:rsidR="00FE7A25" w:rsidRDefault="0065655F">
            <w:pPr>
              <w:jc w:val="center"/>
            </w:pPr>
            <w:r>
              <w:t>ПП «Екоагролан-плюс»</w:t>
            </w:r>
          </w:p>
        </w:tc>
        <w:tc>
          <w:tcPr>
            <w:tcW w:w="2412" w:type="dxa"/>
            <w:vAlign w:val="center"/>
          </w:tcPr>
          <w:p w:rsidR="00FE7A25" w:rsidRDefault="0065655F">
            <w:pPr>
              <w:jc w:val="center"/>
            </w:pPr>
            <w:r>
              <w:t>Солома в квадратних тюках</w:t>
            </w:r>
          </w:p>
        </w:tc>
        <w:tc>
          <w:tcPr>
            <w:tcW w:w="848" w:type="dxa"/>
            <w:vAlign w:val="center"/>
          </w:tcPr>
          <w:p w:rsidR="00FE7A25" w:rsidRDefault="0065655F">
            <w:pPr>
              <w:jc w:val="center"/>
            </w:pPr>
            <w:r>
              <w:t>Сезон</w:t>
            </w:r>
          </w:p>
        </w:tc>
        <w:tc>
          <w:tcPr>
            <w:tcW w:w="1417" w:type="dxa"/>
            <w:vAlign w:val="center"/>
          </w:tcPr>
          <w:p w:rsidR="00FE7A25" w:rsidRDefault="002C469C">
            <w:pPr>
              <w:jc w:val="center"/>
            </w:pPr>
            <w:r>
              <w:t>Доставка</w:t>
            </w:r>
          </w:p>
        </w:tc>
        <w:tc>
          <w:tcPr>
            <w:tcW w:w="1418" w:type="dxa"/>
            <w:vAlign w:val="center"/>
          </w:tcPr>
          <w:p w:rsidR="00FE7A25" w:rsidRDefault="0065655F">
            <w:pPr>
              <w:jc w:val="center"/>
            </w:pPr>
            <w:r>
              <w:t>Безготів-кова</w:t>
            </w:r>
          </w:p>
        </w:tc>
        <w:tc>
          <w:tcPr>
            <w:tcW w:w="1437" w:type="dxa"/>
            <w:vAlign w:val="center"/>
          </w:tcPr>
          <w:p w:rsidR="00FE7A25" w:rsidRDefault="00FE7A25">
            <w:pPr>
              <w:jc w:val="center"/>
            </w:pPr>
            <w:r>
              <w:t>Відстрочка платежу</w:t>
            </w:r>
          </w:p>
        </w:tc>
      </w:tr>
      <w:tr w:rsidR="00FE7A25" w:rsidTr="0065655F">
        <w:trPr>
          <w:cantSplit/>
          <w:trHeight w:val="77"/>
          <w:jc w:val="center"/>
        </w:trPr>
        <w:tc>
          <w:tcPr>
            <w:tcW w:w="452" w:type="dxa"/>
            <w:vAlign w:val="center"/>
          </w:tcPr>
          <w:p w:rsidR="00FE7A25" w:rsidRDefault="00FE7A25">
            <w:pPr>
              <w:jc w:val="center"/>
            </w:pPr>
            <w:r>
              <w:t>4</w:t>
            </w:r>
          </w:p>
        </w:tc>
        <w:tc>
          <w:tcPr>
            <w:tcW w:w="1698" w:type="dxa"/>
            <w:vAlign w:val="center"/>
          </w:tcPr>
          <w:p w:rsidR="00FE7A25" w:rsidRDefault="0065655F">
            <w:pPr>
              <w:jc w:val="center"/>
            </w:pPr>
            <w:r>
              <w:t>СФГ «Манятин»</w:t>
            </w:r>
          </w:p>
        </w:tc>
        <w:tc>
          <w:tcPr>
            <w:tcW w:w="2412" w:type="dxa"/>
            <w:vAlign w:val="center"/>
          </w:tcPr>
          <w:p w:rsidR="00FE7A25" w:rsidRDefault="0065655F">
            <w:pPr>
              <w:jc w:val="center"/>
            </w:pPr>
            <w:r>
              <w:t>Солома в квадратних тюках</w:t>
            </w:r>
          </w:p>
        </w:tc>
        <w:tc>
          <w:tcPr>
            <w:tcW w:w="848" w:type="dxa"/>
            <w:vAlign w:val="center"/>
          </w:tcPr>
          <w:p w:rsidR="00FE7A25" w:rsidRDefault="0065655F">
            <w:pPr>
              <w:jc w:val="center"/>
            </w:pPr>
            <w:r>
              <w:t>Сезон</w:t>
            </w:r>
          </w:p>
        </w:tc>
        <w:tc>
          <w:tcPr>
            <w:tcW w:w="1417" w:type="dxa"/>
            <w:vAlign w:val="center"/>
          </w:tcPr>
          <w:p w:rsidR="00FE7A25" w:rsidRDefault="002C469C">
            <w:pPr>
              <w:jc w:val="center"/>
            </w:pPr>
            <w:r>
              <w:t>Доставка</w:t>
            </w:r>
          </w:p>
        </w:tc>
        <w:tc>
          <w:tcPr>
            <w:tcW w:w="1418" w:type="dxa"/>
            <w:vAlign w:val="center"/>
          </w:tcPr>
          <w:p w:rsidR="00FE7A25" w:rsidRDefault="00FE7A25">
            <w:pPr>
              <w:jc w:val="center"/>
            </w:pPr>
            <w:r>
              <w:t>Безготів-кова</w:t>
            </w:r>
          </w:p>
        </w:tc>
        <w:tc>
          <w:tcPr>
            <w:tcW w:w="1437" w:type="dxa"/>
            <w:vAlign w:val="center"/>
          </w:tcPr>
          <w:p w:rsidR="00FE7A25" w:rsidRDefault="0065655F">
            <w:pPr>
              <w:jc w:val="center"/>
            </w:pPr>
            <w:r>
              <w:t>Відстрочка платежу</w:t>
            </w:r>
          </w:p>
        </w:tc>
      </w:tr>
    </w:tbl>
    <w:p w:rsidR="00FE7A25" w:rsidRDefault="00FE7A25">
      <w:pPr>
        <w:pStyle w:val="3"/>
        <w:ind w:firstLine="540"/>
        <w:jc w:val="both"/>
        <w:rPr>
          <w:sz w:val="10"/>
        </w:rPr>
      </w:pPr>
    </w:p>
    <w:p w:rsidR="005C675A" w:rsidRDefault="005C675A">
      <w:pPr>
        <w:spacing w:line="360" w:lineRule="auto"/>
        <w:ind w:firstLine="540"/>
      </w:pPr>
      <w:r>
        <w:t>Вартість соломи за попередньою домовленістю становить 1 000,00 грн. тонна, в будь якому з підприємств з доставкою.</w:t>
      </w:r>
    </w:p>
    <w:p w:rsidR="00FE7A25" w:rsidRDefault="00FE7A25">
      <w:pPr>
        <w:spacing w:line="360" w:lineRule="auto"/>
        <w:ind w:firstLine="540"/>
      </w:pPr>
      <w:r>
        <w:t>Витрати на заробітну плату.</w:t>
      </w:r>
    </w:p>
    <w:p w:rsidR="00FE7A25" w:rsidRDefault="00FE7A25">
      <w:pPr>
        <w:spacing w:line="360" w:lineRule="auto"/>
        <w:jc w:val="right"/>
      </w:pPr>
      <w:r>
        <w:t xml:space="preserve">Таблиця </w:t>
      </w:r>
      <w:r w:rsidR="005C675A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5"/>
        <w:gridCol w:w="3068"/>
      </w:tblGrid>
      <w:tr w:rsidR="00FE7A25">
        <w:tc>
          <w:tcPr>
            <w:tcW w:w="6785" w:type="dxa"/>
            <w:vAlign w:val="center"/>
          </w:tcPr>
          <w:p w:rsidR="00FE7A25" w:rsidRDefault="00FE7A25">
            <w:pPr>
              <w:jc w:val="center"/>
            </w:pPr>
            <w:r>
              <w:t>Статті витрат</w:t>
            </w:r>
          </w:p>
        </w:tc>
        <w:tc>
          <w:tcPr>
            <w:tcW w:w="3068" w:type="dxa"/>
            <w:vAlign w:val="center"/>
          </w:tcPr>
          <w:p w:rsidR="00FE7A25" w:rsidRDefault="00FE7A25">
            <w:pPr>
              <w:jc w:val="center"/>
            </w:pPr>
            <w:r>
              <w:t>Сума, грн.</w:t>
            </w:r>
          </w:p>
        </w:tc>
      </w:tr>
      <w:tr w:rsidR="00FE7A25">
        <w:tc>
          <w:tcPr>
            <w:tcW w:w="6785" w:type="dxa"/>
            <w:vAlign w:val="center"/>
          </w:tcPr>
          <w:p w:rsidR="00FE7A25" w:rsidRDefault="00FE7A25">
            <w:pPr>
              <w:jc w:val="center"/>
            </w:pPr>
            <w:r>
              <w:t>Основна заробітна плата</w:t>
            </w:r>
          </w:p>
        </w:tc>
        <w:tc>
          <w:tcPr>
            <w:tcW w:w="3068" w:type="dxa"/>
            <w:vAlign w:val="center"/>
          </w:tcPr>
          <w:p w:rsidR="00FE7A25" w:rsidRDefault="005C675A">
            <w:pPr>
              <w:jc w:val="center"/>
            </w:pPr>
            <w:r>
              <w:t>20 000,00</w:t>
            </w:r>
          </w:p>
        </w:tc>
      </w:tr>
      <w:tr w:rsidR="00FE7A25">
        <w:tc>
          <w:tcPr>
            <w:tcW w:w="6785" w:type="dxa"/>
            <w:vAlign w:val="center"/>
          </w:tcPr>
          <w:p w:rsidR="00FE7A25" w:rsidRDefault="00FE7A25">
            <w:pPr>
              <w:jc w:val="center"/>
            </w:pPr>
            <w:r>
              <w:t>Відрахування на соціальні заходи</w:t>
            </w:r>
          </w:p>
        </w:tc>
        <w:tc>
          <w:tcPr>
            <w:tcW w:w="3068" w:type="dxa"/>
            <w:vAlign w:val="center"/>
          </w:tcPr>
          <w:p w:rsidR="00FE7A25" w:rsidRDefault="005C675A">
            <w:pPr>
              <w:jc w:val="center"/>
            </w:pPr>
            <w:r>
              <w:t>4 400,00</w:t>
            </w:r>
          </w:p>
        </w:tc>
      </w:tr>
      <w:tr w:rsidR="00FE7A25">
        <w:trPr>
          <w:trHeight w:val="151"/>
        </w:trPr>
        <w:tc>
          <w:tcPr>
            <w:tcW w:w="6785" w:type="dxa"/>
            <w:vAlign w:val="center"/>
          </w:tcPr>
          <w:p w:rsidR="00FE7A25" w:rsidRDefault="00FE7A25">
            <w:pPr>
              <w:jc w:val="center"/>
            </w:pPr>
            <w:r>
              <w:t>Всього</w:t>
            </w:r>
          </w:p>
        </w:tc>
        <w:tc>
          <w:tcPr>
            <w:tcW w:w="3068" w:type="dxa"/>
            <w:vAlign w:val="center"/>
          </w:tcPr>
          <w:p w:rsidR="00FE7A25" w:rsidRDefault="005C675A" w:rsidP="005C675A">
            <w:pPr>
              <w:jc w:val="center"/>
            </w:pPr>
            <w:r>
              <w:t>24 4</w:t>
            </w:r>
            <w:r w:rsidR="00FE7A25">
              <w:t>00</w:t>
            </w:r>
            <w:r>
              <w:t>,00</w:t>
            </w:r>
          </w:p>
        </w:tc>
      </w:tr>
    </w:tbl>
    <w:p w:rsidR="00FE7A25" w:rsidRDefault="00FE7A25">
      <w:pPr>
        <w:spacing w:line="360" w:lineRule="auto"/>
        <w:jc w:val="center"/>
      </w:pPr>
    </w:p>
    <w:p w:rsidR="005C675A" w:rsidRDefault="005C675A">
      <w:pPr>
        <w:spacing w:line="360" w:lineRule="auto"/>
        <w:jc w:val="center"/>
      </w:pPr>
    </w:p>
    <w:p w:rsidR="005C675A" w:rsidRDefault="005C675A">
      <w:pPr>
        <w:spacing w:line="360" w:lineRule="auto"/>
        <w:jc w:val="center"/>
      </w:pPr>
    </w:p>
    <w:p w:rsidR="005C675A" w:rsidRDefault="005C675A">
      <w:pPr>
        <w:spacing w:line="360" w:lineRule="auto"/>
        <w:jc w:val="center"/>
      </w:pPr>
    </w:p>
    <w:p w:rsidR="00FE7A25" w:rsidRDefault="00FE7A25">
      <w:pPr>
        <w:spacing w:line="360" w:lineRule="auto"/>
        <w:ind w:firstLine="540"/>
        <w:jc w:val="both"/>
      </w:pPr>
      <w:r>
        <w:t>Витрати на електроенергію для технологічних цілей.</w:t>
      </w:r>
    </w:p>
    <w:p w:rsidR="00FE7A25" w:rsidRDefault="00FE7A25">
      <w:pPr>
        <w:spacing w:line="360" w:lineRule="auto"/>
        <w:ind w:firstLine="540"/>
        <w:jc w:val="right"/>
      </w:pPr>
      <w:r>
        <w:t xml:space="preserve">Таблиця </w:t>
      </w:r>
      <w:r w:rsidR="005C675A"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1"/>
        <w:gridCol w:w="1925"/>
        <w:gridCol w:w="1936"/>
        <w:gridCol w:w="1882"/>
        <w:gridCol w:w="2039"/>
      </w:tblGrid>
      <w:tr w:rsidR="00FE7A25">
        <w:trPr>
          <w:trHeight w:val="457"/>
        </w:trPr>
        <w:tc>
          <w:tcPr>
            <w:tcW w:w="2071" w:type="dxa"/>
            <w:vAlign w:val="center"/>
          </w:tcPr>
          <w:p w:rsidR="00FE7A25" w:rsidRDefault="00FE7A25">
            <w:pPr>
              <w:jc w:val="center"/>
            </w:pPr>
            <w:r>
              <w:t>Найменування устаткування</w:t>
            </w:r>
          </w:p>
        </w:tc>
        <w:tc>
          <w:tcPr>
            <w:tcW w:w="1925" w:type="dxa"/>
            <w:vAlign w:val="center"/>
          </w:tcPr>
          <w:p w:rsidR="00FE7A25" w:rsidRDefault="00FE7A25">
            <w:pPr>
              <w:jc w:val="center"/>
            </w:pPr>
            <w:r>
              <w:t>Потужність, кВт/год.</w:t>
            </w:r>
          </w:p>
        </w:tc>
        <w:tc>
          <w:tcPr>
            <w:tcW w:w="1936" w:type="dxa"/>
            <w:vAlign w:val="center"/>
          </w:tcPr>
          <w:p w:rsidR="00FE7A25" w:rsidRDefault="00FE7A25">
            <w:pPr>
              <w:jc w:val="center"/>
            </w:pPr>
            <w:r>
              <w:t>Кількість устаткування</w:t>
            </w:r>
          </w:p>
        </w:tc>
        <w:tc>
          <w:tcPr>
            <w:tcW w:w="1882" w:type="dxa"/>
            <w:vAlign w:val="center"/>
          </w:tcPr>
          <w:p w:rsidR="00FE7A25" w:rsidRDefault="00FE7A25">
            <w:pPr>
              <w:jc w:val="center"/>
            </w:pPr>
            <w:r>
              <w:t>Час роботи, год.</w:t>
            </w:r>
          </w:p>
        </w:tc>
        <w:tc>
          <w:tcPr>
            <w:tcW w:w="2039" w:type="dxa"/>
            <w:vAlign w:val="center"/>
          </w:tcPr>
          <w:p w:rsidR="00FE7A25" w:rsidRDefault="00FE7A25">
            <w:pPr>
              <w:jc w:val="center"/>
            </w:pPr>
            <w:r>
              <w:t>Енерговитрати в день</w:t>
            </w:r>
          </w:p>
        </w:tc>
      </w:tr>
      <w:tr w:rsidR="00FE7A25">
        <w:tc>
          <w:tcPr>
            <w:tcW w:w="2071" w:type="dxa"/>
            <w:vAlign w:val="center"/>
          </w:tcPr>
          <w:p w:rsidR="00FE7A25" w:rsidRDefault="005C675A">
            <w:pPr>
              <w:jc w:val="center"/>
            </w:pPr>
            <w:r>
              <w:t>Лінія по брикетуванню</w:t>
            </w:r>
          </w:p>
        </w:tc>
        <w:tc>
          <w:tcPr>
            <w:tcW w:w="1925" w:type="dxa"/>
            <w:vAlign w:val="center"/>
          </w:tcPr>
          <w:p w:rsidR="00FE7A25" w:rsidRDefault="005C675A">
            <w:pPr>
              <w:jc w:val="center"/>
            </w:pPr>
            <w:r>
              <w:t>23</w:t>
            </w:r>
          </w:p>
        </w:tc>
        <w:tc>
          <w:tcPr>
            <w:tcW w:w="1936" w:type="dxa"/>
            <w:vAlign w:val="center"/>
          </w:tcPr>
          <w:p w:rsidR="00FE7A25" w:rsidRDefault="00FE7A25">
            <w:pPr>
              <w:jc w:val="center"/>
            </w:pPr>
            <w:r>
              <w:t>1</w:t>
            </w:r>
          </w:p>
        </w:tc>
        <w:tc>
          <w:tcPr>
            <w:tcW w:w="1882" w:type="dxa"/>
            <w:vAlign w:val="center"/>
          </w:tcPr>
          <w:p w:rsidR="00FE7A25" w:rsidRDefault="005C675A">
            <w:pPr>
              <w:jc w:val="center"/>
            </w:pPr>
            <w:r>
              <w:t>8</w:t>
            </w:r>
          </w:p>
        </w:tc>
        <w:tc>
          <w:tcPr>
            <w:tcW w:w="2039" w:type="dxa"/>
            <w:vAlign w:val="center"/>
          </w:tcPr>
          <w:p w:rsidR="00FE7A25" w:rsidRDefault="005C675A">
            <w:pPr>
              <w:jc w:val="center"/>
            </w:pPr>
            <w:r>
              <w:t>184</w:t>
            </w:r>
          </w:p>
        </w:tc>
      </w:tr>
      <w:tr w:rsidR="00FE7A25">
        <w:tc>
          <w:tcPr>
            <w:tcW w:w="2071" w:type="dxa"/>
            <w:vAlign w:val="center"/>
          </w:tcPr>
          <w:p w:rsidR="00FE7A25" w:rsidRDefault="005C675A">
            <w:pPr>
              <w:jc w:val="center"/>
            </w:pPr>
            <w:r>
              <w:t>Котел твердопаливний</w:t>
            </w:r>
          </w:p>
        </w:tc>
        <w:tc>
          <w:tcPr>
            <w:tcW w:w="1925" w:type="dxa"/>
            <w:vAlign w:val="center"/>
          </w:tcPr>
          <w:p w:rsidR="00FE7A25" w:rsidRDefault="00FE7A25">
            <w:pPr>
              <w:jc w:val="center"/>
            </w:pPr>
            <w:r>
              <w:t>4</w:t>
            </w:r>
          </w:p>
        </w:tc>
        <w:tc>
          <w:tcPr>
            <w:tcW w:w="1936" w:type="dxa"/>
            <w:vAlign w:val="center"/>
          </w:tcPr>
          <w:p w:rsidR="00FE7A25" w:rsidRDefault="00FE7A25">
            <w:pPr>
              <w:jc w:val="center"/>
            </w:pPr>
            <w:r>
              <w:t>1</w:t>
            </w:r>
          </w:p>
        </w:tc>
        <w:tc>
          <w:tcPr>
            <w:tcW w:w="1882" w:type="dxa"/>
            <w:vAlign w:val="center"/>
          </w:tcPr>
          <w:p w:rsidR="00FE7A25" w:rsidRDefault="005C675A">
            <w:pPr>
              <w:jc w:val="center"/>
            </w:pPr>
            <w:r>
              <w:t>24</w:t>
            </w:r>
          </w:p>
        </w:tc>
        <w:tc>
          <w:tcPr>
            <w:tcW w:w="2039" w:type="dxa"/>
            <w:vAlign w:val="center"/>
          </w:tcPr>
          <w:p w:rsidR="00FE7A25" w:rsidRDefault="00FE7A25">
            <w:pPr>
              <w:jc w:val="center"/>
            </w:pPr>
            <w:r>
              <w:t>32</w:t>
            </w:r>
          </w:p>
        </w:tc>
      </w:tr>
      <w:tr w:rsidR="00FE7A25">
        <w:tc>
          <w:tcPr>
            <w:tcW w:w="2071" w:type="dxa"/>
            <w:vAlign w:val="center"/>
          </w:tcPr>
          <w:p w:rsidR="00FE7A25" w:rsidRDefault="00FE7A25">
            <w:pPr>
              <w:jc w:val="center"/>
            </w:pPr>
            <w:r>
              <w:t>Всього</w:t>
            </w:r>
          </w:p>
        </w:tc>
        <w:tc>
          <w:tcPr>
            <w:tcW w:w="1925" w:type="dxa"/>
            <w:vAlign w:val="center"/>
          </w:tcPr>
          <w:p w:rsidR="00FE7A25" w:rsidRDefault="005C675A">
            <w:pPr>
              <w:jc w:val="center"/>
            </w:pPr>
            <w:r>
              <w:t>27</w:t>
            </w:r>
          </w:p>
        </w:tc>
        <w:tc>
          <w:tcPr>
            <w:tcW w:w="1936" w:type="dxa"/>
            <w:vAlign w:val="center"/>
          </w:tcPr>
          <w:p w:rsidR="00FE7A25" w:rsidRDefault="00FE7A25">
            <w:pPr>
              <w:jc w:val="center"/>
            </w:pPr>
          </w:p>
        </w:tc>
        <w:tc>
          <w:tcPr>
            <w:tcW w:w="1882" w:type="dxa"/>
            <w:vAlign w:val="center"/>
          </w:tcPr>
          <w:p w:rsidR="00FE7A25" w:rsidRDefault="00FE7A25">
            <w:pPr>
              <w:jc w:val="center"/>
            </w:pPr>
          </w:p>
        </w:tc>
        <w:tc>
          <w:tcPr>
            <w:tcW w:w="2039" w:type="dxa"/>
            <w:vAlign w:val="center"/>
          </w:tcPr>
          <w:p w:rsidR="00FE7A25" w:rsidRDefault="005C675A">
            <w:pPr>
              <w:jc w:val="center"/>
            </w:pPr>
            <w:r>
              <w:t>216</w:t>
            </w:r>
          </w:p>
        </w:tc>
      </w:tr>
    </w:tbl>
    <w:p w:rsidR="00FE7A25" w:rsidRDefault="00FE7A25">
      <w:pPr>
        <w:spacing w:line="360" w:lineRule="auto"/>
        <w:ind w:firstLine="540"/>
        <w:jc w:val="both"/>
      </w:pPr>
      <w:r>
        <w:t>Для розрахунку собівартості продукції необхідно визначити всі витрати, що мають місце в процесі виробництва. Витрати грошових коштів будуть здійснюватись на придбання сировини та допоміжних матеріалів, виплати заробітної плати основних працівників, оплату енергії та додаткові витрати, пов’язані з організацією та здійсненням діяльності підприємства.</w:t>
      </w:r>
    </w:p>
    <w:p w:rsidR="00FE7A25" w:rsidRDefault="00FE7A25">
      <w:pPr>
        <w:spacing w:line="360" w:lineRule="auto"/>
        <w:ind w:firstLine="540"/>
        <w:jc w:val="both"/>
      </w:pPr>
      <w:r>
        <w:t>У витрати на утримання та експлуатацію устаткування включають амортизаційні відрахування , експлуатаційні витрати на обладнання, транспорт, інструмент, витрати на ремонт.</w:t>
      </w:r>
    </w:p>
    <w:p w:rsidR="00FE7A25" w:rsidRDefault="00FE7A25">
      <w:pPr>
        <w:spacing w:line="360" w:lineRule="auto"/>
        <w:ind w:firstLine="540"/>
        <w:jc w:val="both"/>
      </w:pPr>
      <w:r>
        <w:t>Загальновиробничі витрати формують витрати на організацію і управляння виробництвом, на опалення, освітлення, зв’язок та інші.</w:t>
      </w:r>
    </w:p>
    <w:p w:rsidR="00FE7A25" w:rsidRDefault="00FE7A25">
      <w:pPr>
        <w:spacing w:line="360" w:lineRule="auto"/>
        <w:ind w:firstLine="540"/>
        <w:jc w:val="right"/>
      </w:pPr>
      <w:r>
        <w:t xml:space="preserve">Таблиця </w:t>
      </w:r>
      <w:r w:rsidR="002C469C">
        <w:t>6</w:t>
      </w:r>
    </w:p>
    <w:p w:rsidR="00FE7A25" w:rsidRDefault="00FE7A25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Виробнича собівартість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3544"/>
      </w:tblGrid>
      <w:tr w:rsidR="00FE7A25" w:rsidTr="002C469C">
        <w:trPr>
          <w:cantSplit/>
        </w:trPr>
        <w:tc>
          <w:tcPr>
            <w:tcW w:w="6062" w:type="dxa"/>
            <w:vMerge w:val="restart"/>
            <w:vAlign w:val="center"/>
          </w:tcPr>
          <w:p w:rsidR="00FE7A25" w:rsidRDefault="00FE7A25">
            <w:pPr>
              <w:jc w:val="center"/>
            </w:pPr>
            <w:r>
              <w:t>Найменування витрат</w:t>
            </w:r>
          </w:p>
        </w:tc>
        <w:tc>
          <w:tcPr>
            <w:tcW w:w="3544" w:type="dxa"/>
            <w:vAlign w:val="center"/>
          </w:tcPr>
          <w:p w:rsidR="00FE7A25" w:rsidRDefault="00FE7A25">
            <w:pPr>
              <w:jc w:val="center"/>
            </w:pPr>
            <w:r>
              <w:t>Сума, грн.</w:t>
            </w:r>
            <w:r w:rsidR="002C469C">
              <w:t>/т</w:t>
            </w:r>
          </w:p>
        </w:tc>
      </w:tr>
      <w:tr w:rsidR="002C469C" w:rsidTr="002C469C">
        <w:trPr>
          <w:cantSplit/>
        </w:trPr>
        <w:tc>
          <w:tcPr>
            <w:tcW w:w="6062" w:type="dxa"/>
            <w:vMerge/>
            <w:vAlign w:val="center"/>
          </w:tcPr>
          <w:p w:rsidR="002C469C" w:rsidRDefault="002C469C">
            <w:pPr>
              <w:jc w:val="center"/>
            </w:pPr>
          </w:p>
        </w:tc>
        <w:tc>
          <w:tcPr>
            <w:tcW w:w="3544" w:type="dxa"/>
            <w:vAlign w:val="center"/>
          </w:tcPr>
          <w:p w:rsidR="002C469C" w:rsidRDefault="002C469C">
            <w:pPr>
              <w:jc w:val="center"/>
            </w:pPr>
            <w:r>
              <w:t>Паливний брикет</w:t>
            </w: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2C469C">
            <w:pPr>
              <w:jc w:val="both"/>
            </w:pPr>
            <w:r>
              <w:t>1. Сировина і матеріали</w:t>
            </w:r>
          </w:p>
        </w:tc>
        <w:tc>
          <w:tcPr>
            <w:tcW w:w="3544" w:type="dxa"/>
            <w:vAlign w:val="center"/>
          </w:tcPr>
          <w:p w:rsidR="002C469C" w:rsidRDefault="002C469C">
            <w:pPr>
              <w:jc w:val="center"/>
            </w:pPr>
            <w:r>
              <w:t>1000,0</w:t>
            </w: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2C469C">
            <w:pPr>
              <w:jc w:val="both"/>
            </w:pPr>
            <w:r>
              <w:t>2. Управлінські напівфабрикати та комплектуючі вироби і послуги виробничого характеру сторонніх підприємств</w:t>
            </w:r>
          </w:p>
        </w:tc>
        <w:tc>
          <w:tcPr>
            <w:tcW w:w="3544" w:type="dxa"/>
            <w:vAlign w:val="center"/>
          </w:tcPr>
          <w:p w:rsidR="002C469C" w:rsidRDefault="002C469C">
            <w:pPr>
              <w:jc w:val="center"/>
            </w:pPr>
            <w:r>
              <w:t>-</w:t>
            </w: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2C469C">
            <w:pPr>
              <w:jc w:val="both"/>
            </w:pPr>
            <w:r>
              <w:t>3. Паливо та електроенергія на технологічні цілі</w:t>
            </w:r>
          </w:p>
        </w:tc>
        <w:tc>
          <w:tcPr>
            <w:tcW w:w="3544" w:type="dxa"/>
            <w:vAlign w:val="center"/>
          </w:tcPr>
          <w:p w:rsidR="002C469C" w:rsidRDefault="002C469C">
            <w:pPr>
              <w:jc w:val="center"/>
            </w:pPr>
            <w:r>
              <w:t>240,0</w:t>
            </w: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F76871">
            <w:pPr>
              <w:jc w:val="both"/>
            </w:pPr>
            <w:r>
              <w:t>4</w:t>
            </w:r>
            <w:r w:rsidR="002C469C">
              <w:t>. Основна заробітна плата робітників</w:t>
            </w:r>
          </w:p>
        </w:tc>
        <w:tc>
          <w:tcPr>
            <w:tcW w:w="3544" w:type="dxa"/>
            <w:vAlign w:val="center"/>
          </w:tcPr>
          <w:p w:rsidR="002C469C" w:rsidRDefault="002C469C">
            <w:pPr>
              <w:jc w:val="center"/>
            </w:pPr>
            <w:r>
              <w:t>744,04</w:t>
            </w: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F76871">
            <w:pPr>
              <w:jc w:val="both"/>
            </w:pPr>
            <w:r>
              <w:t>5</w:t>
            </w:r>
            <w:r w:rsidR="002C469C">
              <w:t>. Відрахування на соціальні заходи</w:t>
            </w:r>
          </w:p>
        </w:tc>
        <w:tc>
          <w:tcPr>
            <w:tcW w:w="3544" w:type="dxa"/>
            <w:vAlign w:val="center"/>
          </w:tcPr>
          <w:p w:rsidR="002C469C" w:rsidRDefault="002C469C">
            <w:pPr>
              <w:jc w:val="center"/>
            </w:pPr>
            <w:r>
              <w:t>163,69</w:t>
            </w: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F76871">
            <w:pPr>
              <w:jc w:val="both"/>
            </w:pPr>
            <w:r>
              <w:t>6</w:t>
            </w:r>
            <w:r w:rsidR="002C469C">
              <w:t>. Витрати на утримання та експлуатацію обладнання :</w:t>
            </w:r>
          </w:p>
          <w:p w:rsidR="002C469C" w:rsidRDefault="002C469C" w:rsidP="002C469C">
            <w:pPr>
              <w:jc w:val="both"/>
            </w:pPr>
            <w:r>
              <w:t>- амортизаційні відрахування на ОЗ;</w:t>
            </w:r>
          </w:p>
        </w:tc>
        <w:tc>
          <w:tcPr>
            <w:tcW w:w="3544" w:type="dxa"/>
            <w:vAlign w:val="center"/>
          </w:tcPr>
          <w:p w:rsidR="002C469C" w:rsidRDefault="002C469C">
            <w:pPr>
              <w:jc w:val="center"/>
            </w:pPr>
          </w:p>
          <w:p w:rsidR="002C469C" w:rsidRDefault="002C469C">
            <w:pPr>
              <w:jc w:val="center"/>
            </w:pPr>
            <w:r>
              <w:t>383,65</w:t>
            </w:r>
          </w:p>
          <w:p w:rsidR="002C469C" w:rsidRDefault="002C469C" w:rsidP="002C469C">
            <w:pPr>
              <w:jc w:val="center"/>
            </w:pP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F76871">
            <w:pPr>
              <w:jc w:val="both"/>
            </w:pPr>
            <w:r>
              <w:t>7</w:t>
            </w:r>
            <w:r w:rsidR="002C469C">
              <w:t xml:space="preserve">. Інші виробничі витрати </w:t>
            </w:r>
          </w:p>
        </w:tc>
        <w:tc>
          <w:tcPr>
            <w:tcW w:w="3544" w:type="dxa"/>
            <w:vAlign w:val="center"/>
          </w:tcPr>
          <w:p w:rsidR="002C469C" w:rsidRDefault="00F76871">
            <w:pPr>
              <w:jc w:val="center"/>
            </w:pPr>
            <w:r>
              <w:t>98,60</w:t>
            </w:r>
          </w:p>
        </w:tc>
      </w:tr>
      <w:tr w:rsidR="002C469C" w:rsidTr="002C469C">
        <w:tc>
          <w:tcPr>
            <w:tcW w:w="6062" w:type="dxa"/>
            <w:vAlign w:val="center"/>
          </w:tcPr>
          <w:p w:rsidR="002C469C" w:rsidRDefault="002C469C">
            <w:pPr>
              <w:jc w:val="both"/>
            </w:pPr>
            <w:r>
              <w:t>Всього</w:t>
            </w:r>
          </w:p>
        </w:tc>
        <w:tc>
          <w:tcPr>
            <w:tcW w:w="3544" w:type="dxa"/>
            <w:vAlign w:val="center"/>
          </w:tcPr>
          <w:p w:rsidR="002C469C" w:rsidRDefault="00F76871">
            <w:pPr>
              <w:jc w:val="center"/>
            </w:pPr>
            <w:r>
              <w:t>2629,98</w:t>
            </w:r>
          </w:p>
        </w:tc>
      </w:tr>
    </w:tbl>
    <w:p w:rsidR="00FE7A25" w:rsidRDefault="00FE7A25">
      <w:pPr>
        <w:spacing w:line="360" w:lineRule="auto"/>
        <w:ind w:firstLine="540"/>
        <w:jc w:val="both"/>
      </w:pPr>
      <w:r>
        <w:t>Ціна одиниці продукції:</w:t>
      </w:r>
    </w:p>
    <w:p w:rsidR="00FE7A25" w:rsidRDefault="00F76871">
      <w:pPr>
        <w:spacing w:line="360" w:lineRule="auto"/>
        <w:jc w:val="both"/>
      </w:pPr>
      <w:r>
        <w:t>Брикет паливний з соломи: 2629,98 грн</w:t>
      </w:r>
    </w:p>
    <w:p w:rsidR="00FE7A25" w:rsidRDefault="00FE7A25">
      <w:pPr>
        <w:spacing w:line="360" w:lineRule="auto"/>
        <w:ind w:firstLine="540"/>
        <w:jc w:val="both"/>
      </w:pPr>
      <w:r>
        <w:t>Виручка від реалізації без ПДВ:</w:t>
      </w:r>
    </w:p>
    <w:p w:rsidR="00F76871" w:rsidRDefault="00F76871" w:rsidP="00F76871">
      <w:pPr>
        <w:spacing w:line="360" w:lineRule="auto"/>
        <w:jc w:val="both"/>
      </w:pPr>
      <w:r>
        <w:t>Брикет паливний з соломи: 2629,98*15%=3025,00 грн</w:t>
      </w:r>
    </w:p>
    <w:p w:rsidR="00FE7A25" w:rsidRDefault="00FE7A25">
      <w:pPr>
        <w:spacing w:line="360" w:lineRule="auto"/>
        <w:ind w:firstLine="540"/>
        <w:jc w:val="both"/>
      </w:pPr>
      <w:r>
        <w:t>Прибуток становитиме:</w:t>
      </w:r>
    </w:p>
    <w:p w:rsidR="00F76871" w:rsidRDefault="00F76871">
      <w:pPr>
        <w:spacing w:line="360" w:lineRule="auto"/>
        <w:jc w:val="both"/>
      </w:pPr>
      <w:r>
        <w:t>Брикет паливний з соломи: 3025-2629,98=395,02 грн</w:t>
      </w:r>
    </w:p>
    <w:p w:rsidR="00FE7A25" w:rsidRDefault="00FE7A25">
      <w:pPr>
        <w:spacing w:line="360" w:lineRule="auto"/>
        <w:ind w:firstLine="540"/>
        <w:jc w:val="both"/>
      </w:pPr>
      <w:r>
        <w:lastRenderedPageBreak/>
        <w:t>Рентабельність:</w:t>
      </w:r>
    </w:p>
    <w:p w:rsidR="00A349B3" w:rsidRDefault="00F76871" w:rsidP="00F76871">
      <w:pPr>
        <w:spacing w:line="360" w:lineRule="auto"/>
        <w:jc w:val="both"/>
      </w:pPr>
      <w:r>
        <w:t>Брикет паливний з соломи: 2629,98/3025*100=15%</w:t>
      </w:r>
      <w:r w:rsidR="00A349B3">
        <w:t>.</w:t>
      </w:r>
    </w:p>
    <w:p w:rsidR="00A349B3" w:rsidRDefault="00A349B3" w:rsidP="00A349B3">
      <w:pPr>
        <w:spacing w:line="360" w:lineRule="auto"/>
        <w:ind w:firstLine="567"/>
        <w:jc w:val="both"/>
      </w:pPr>
      <w:r>
        <w:t>Виробничий витрати на теплопостачання.</w:t>
      </w:r>
    </w:p>
    <w:p w:rsidR="00A349B3" w:rsidRDefault="00A349B3" w:rsidP="00A349B3">
      <w:pPr>
        <w:spacing w:line="360" w:lineRule="auto"/>
        <w:ind w:firstLine="567"/>
        <w:jc w:val="both"/>
      </w:pPr>
      <w:r>
        <w:t>Вартість Гігакалорії при опаленні Малоправутинського ліцею.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>
        <w:t>Опалювальна площа  1980 м</w:t>
      </w:r>
      <w:r>
        <w:rPr>
          <w:vertAlign w:val="superscript"/>
        </w:rPr>
        <w:t>2</w:t>
      </w:r>
      <w:r>
        <w:t xml:space="preserve"> на опалення потрібно на рік 248 Гккал тепла.</w:t>
      </w:r>
      <w:r w:rsidRPr="00A349B3">
        <w:rPr>
          <w:rFonts w:eastAsiaTheme="minorEastAsia"/>
          <w:sz w:val="28"/>
          <w:szCs w:val="28"/>
          <w:lang w:eastAsia="ru-RU"/>
        </w:rPr>
        <w:t xml:space="preserve"> </w:t>
      </w:r>
      <w:r w:rsidRPr="00A349B3">
        <w:t xml:space="preserve">Використовуючи твердопаливний котел довготривалого горіння потрібно 72,150 тон солом’яних брикетів. Станом на 15.09.2018 року </w:t>
      </w:r>
      <w:r>
        <w:t>ціна на тепло в</w:t>
      </w:r>
      <w:r w:rsidRPr="00A349B3">
        <w:t xml:space="preserve"> ТОВ «ІТБ Стандарт» </w:t>
      </w:r>
      <w:r>
        <w:t xml:space="preserve">становить </w:t>
      </w:r>
      <w:r w:rsidRPr="00A349B3">
        <w:t xml:space="preserve">1600,47 грн./Гккал. 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Тобто,при існуючий ціні на тепло, для опалення ліцею потрібно 248*1600,47= 396 916,56  грн.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Собівартість надання послуги: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Амортизаційні витрати  за рік: 180,0 тис. грн..*15%=27,0 тис. грн..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Вартість палива з доставкою (</w:t>
      </w:r>
      <w:r>
        <w:t>3025</w:t>
      </w:r>
      <w:r w:rsidRPr="00A349B3">
        <w:t>+</w:t>
      </w:r>
      <w:r>
        <w:t>25,16</w:t>
      </w:r>
      <w:r w:rsidRPr="00A349B3">
        <w:t>=3050,16) в рік: 3050,16 грн. *72,150 т.=220 069,05 грн.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Заробітна плата опалювача: 6місяців *10 000,00 грн. = 60 000,00 грн.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Нарахування на заробітну плату опалювача: 6 місяців * *2 200,00грн.=13 200,00 грн.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Інші витрати (електроенергія, поточні ремонти)=10 000,00 грн.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Загалом 27 000,00+220 069,05+60 000,</w:t>
      </w:r>
      <w:r>
        <w:t>00+13 200,00 грн+10 000,00 грн.=330 269</w:t>
      </w:r>
      <w:r w:rsidRPr="00A349B3">
        <w:t>,05 грн.</w:t>
      </w:r>
      <w:r>
        <w:t xml:space="preserve"> </w:t>
      </w:r>
      <w:r w:rsidRPr="00A349B3">
        <w:t>(або 1331,73 грн. за Гккал.)</w:t>
      </w:r>
    </w:p>
    <w:p w:rsidR="00A349B3" w:rsidRPr="00A349B3" w:rsidRDefault="00A349B3" w:rsidP="00A349B3">
      <w:pPr>
        <w:spacing w:line="360" w:lineRule="auto"/>
        <w:ind w:firstLine="567"/>
        <w:jc w:val="both"/>
      </w:pPr>
      <w:r w:rsidRPr="00A349B3">
        <w:t>Розрахунковий прибуток визначаємо як різницю від ціна по тарифу та собівартості:  396 916,56-330269,05=66 647,51 грн.</w:t>
      </w:r>
    </w:p>
    <w:p w:rsidR="00A349B3" w:rsidRDefault="00A349B3" w:rsidP="00A349B3">
      <w:pPr>
        <w:spacing w:line="360" w:lineRule="auto"/>
        <w:ind w:firstLine="567"/>
        <w:jc w:val="both"/>
      </w:pPr>
    </w:p>
    <w:p w:rsidR="00FE7A25" w:rsidRDefault="00FE7A25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6. Організаційний план</w:t>
      </w:r>
    </w:p>
    <w:p w:rsidR="005063FD" w:rsidRDefault="00FE7A25">
      <w:pPr>
        <w:spacing w:line="360" w:lineRule="auto"/>
        <w:ind w:firstLine="567"/>
        <w:jc w:val="both"/>
      </w:pPr>
      <w:r>
        <w:t xml:space="preserve">Процес управління підприємством являє собою сукупність взаємопов’язаних заходів та дій, які спрямовані на забезпечення оптимального співвідношення робочої сили, матеріальних та фінансових ресурсів. </w:t>
      </w:r>
      <w:r w:rsidR="005063FD">
        <w:t>Сезонне</w:t>
      </w:r>
      <w:r>
        <w:t xml:space="preserve"> виробництво продукції залежить не тільки від технічного стану виробничих приміщень і технічного обладнання</w:t>
      </w:r>
      <w:r w:rsidR="005063FD">
        <w:t xml:space="preserve">. </w:t>
      </w:r>
    </w:p>
    <w:p w:rsidR="00FE7A25" w:rsidRDefault="005063FD">
      <w:pPr>
        <w:spacing w:line="360" w:lineRule="auto"/>
        <w:ind w:firstLine="567"/>
        <w:jc w:val="both"/>
      </w:pPr>
      <w:r>
        <w:t>Структура управління</w:t>
      </w:r>
      <w:r w:rsidR="00FE7A25">
        <w:t xml:space="preserve"> – це сукупність та супідрядність взаємопов’язаних організаційних одиниць чи ланок, які виконують визначені функції. Управління побудоване за функціональною ознакою – кожен виконавець має своє завдання-функцію, яку він повинен якісно і своєчасно виконувати, за що отримує відповідну винагороду. Розмір винагороди визначається залежно від якості та кількості виконаних робіт. Така організаційна структура визначає стабільність функціонування підприємства.</w:t>
      </w:r>
    </w:p>
    <w:p w:rsidR="00FE7A25" w:rsidRDefault="00FE7A25">
      <w:pPr>
        <w:spacing w:line="360" w:lineRule="auto"/>
        <w:ind w:firstLine="567"/>
        <w:jc w:val="both"/>
      </w:pPr>
      <w:r>
        <w:t xml:space="preserve">Оплата праці робітників здійснюється за системою твердих ставок і премій, які нараховують </w:t>
      </w:r>
      <w:r w:rsidR="005063FD">
        <w:t>збори членів товариства</w:t>
      </w:r>
      <w:r>
        <w:t xml:space="preserve"> (середній оклад – </w:t>
      </w:r>
      <w:r w:rsidR="005063FD">
        <w:t xml:space="preserve">10 000,00 </w:t>
      </w:r>
      <w:r>
        <w:t xml:space="preserve">грн. на місяць); премії </w:t>
      </w:r>
      <w:r>
        <w:lastRenderedPageBreak/>
        <w:t xml:space="preserve">залежать від результатів фінансово-господарської діяльності підприємства – преміальний фонд становить </w:t>
      </w:r>
      <w:r w:rsidR="005063FD">
        <w:t>5</w:t>
      </w:r>
      <w:r>
        <w:t xml:space="preserve"> % товарообігу </w:t>
      </w:r>
      <w:r w:rsidR="005063FD">
        <w:t>підприємства</w:t>
      </w:r>
      <w:r>
        <w:t>.</w:t>
      </w:r>
    </w:p>
    <w:p w:rsidR="00FE7A25" w:rsidRDefault="00FE7A25">
      <w:pPr>
        <w:spacing w:line="360" w:lineRule="auto"/>
        <w:ind w:firstLine="567"/>
        <w:jc w:val="both"/>
      </w:pPr>
      <w:r>
        <w:t>Трудовий колектив підприємства являє собою сукупність людей, які пов’язані між собою єдиною метою, спільною працею по виробництву та реалізації продукції.</w:t>
      </w:r>
    </w:p>
    <w:p w:rsidR="00FE7A25" w:rsidRDefault="00FE7A25" w:rsidP="005063FD">
      <w:pPr>
        <w:spacing w:line="360" w:lineRule="auto"/>
        <w:ind w:firstLine="567"/>
        <w:jc w:val="both"/>
      </w:pPr>
      <w:r>
        <w:t xml:space="preserve">Директор </w:t>
      </w:r>
      <w:r w:rsidR="005063FD" w:rsidRPr="005063FD">
        <w:t>ТОВ</w:t>
      </w:r>
      <w:r w:rsidR="005063FD">
        <w:t xml:space="preserve"> «</w:t>
      </w:r>
      <w:r w:rsidR="005063FD">
        <w:rPr>
          <w:lang w:val="en-US"/>
        </w:rPr>
        <w:t>Green</w:t>
      </w:r>
      <w:r w:rsidR="005063FD" w:rsidRPr="005063FD">
        <w:t xml:space="preserve"> </w:t>
      </w:r>
      <w:r w:rsidR="005063FD" w:rsidRPr="005E33CD">
        <w:t>Energy</w:t>
      </w:r>
      <w:r w:rsidR="005063FD">
        <w:t xml:space="preserve">» </w:t>
      </w:r>
      <w:r>
        <w:t>є відповідальним за організацію та результати всієї торгово-виробничої діяльності підприємства: виконання встановленого плану по товарообігу та прибутку,  якість продукції, стан обліку та контролю, зберігання матеріальних цінностей, дотримання трудового законодавства. Директор особисто відповідає за підбір та розміщення кадрів.</w:t>
      </w:r>
      <w:r w:rsidR="005063FD">
        <w:t xml:space="preserve"> В</w:t>
      </w:r>
      <w:r>
        <w:t xml:space="preserve">ідповідає за виконання планових завдань по виробництву. </w:t>
      </w:r>
      <w:r w:rsidR="005063FD">
        <w:t>Повинен</w:t>
      </w:r>
      <w:r>
        <w:t xml:space="preserve"> забезпечити раціональне використання сировини, досягнути випуск продукції високої якості, вивчати попит </w:t>
      </w:r>
      <w:r w:rsidR="00581B38">
        <w:t>споживачів</w:t>
      </w:r>
      <w:r>
        <w:t xml:space="preserve">, забезпечити додержання на виробництві правил санітарії та гігієни, охорони праці та техніки безпеки, своєчасно подавати в бухгалтерію звіти про використання товарно-матеріальних цінностей. </w:t>
      </w:r>
    </w:p>
    <w:p w:rsidR="00FE7A25" w:rsidRDefault="00FE7A25">
      <w:pPr>
        <w:jc w:val="right"/>
      </w:pPr>
      <w:r>
        <w:t xml:space="preserve">Таблиця </w:t>
      </w:r>
      <w:r w:rsidR="00581B38">
        <w:t>7</w:t>
      </w:r>
    </w:p>
    <w:p w:rsidR="00FE7A25" w:rsidRDefault="00FE7A25">
      <w:pPr>
        <w:jc w:val="center"/>
        <w:rPr>
          <w:i/>
          <w:sz w:val="28"/>
        </w:rPr>
      </w:pPr>
      <w:r>
        <w:rPr>
          <w:i/>
          <w:sz w:val="28"/>
        </w:rPr>
        <w:t>Потреба в персоналі та основна заробітна плата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2561"/>
        <w:gridCol w:w="1638"/>
        <w:gridCol w:w="1789"/>
      </w:tblGrid>
      <w:tr w:rsidR="00FE7A25">
        <w:tc>
          <w:tcPr>
            <w:tcW w:w="3659" w:type="dxa"/>
          </w:tcPr>
          <w:p w:rsidR="00FE7A25" w:rsidRDefault="00FE7A25">
            <w:pPr>
              <w:jc w:val="center"/>
            </w:pPr>
            <w:r>
              <w:t>Посада</w:t>
            </w:r>
          </w:p>
        </w:tc>
        <w:tc>
          <w:tcPr>
            <w:tcW w:w="2561" w:type="dxa"/>
          </w:tcPr>
          <w:p w:rsidR="00FE7A25" w:rsidRDefault="00FE7A25">
            <w:pPr>
              <w:jc w:val="center"/>
            </w:pPr>
            <w:r>
              <w:t>Потреба в працівниках</w:t>
            </w:r>
          </w:p>
        </w:tc>
        <w:tc>
          <w:tcPr>
            <w:tcW w:w="1638" w:type="dxa"/>
          </w:tcPr>
          <w:p w:rsidR="00FE7A25" w:rsidRDefault="00FE7A25">
            <w:pPr>
              <w:jc w:val="center"/>
            </w:pPr>
            <w:r>
              <w:t>Оклад, грн.</w:t>
            </w:r>
          </w:p>
        </w:tc>
        <w:tc>
          <w:tcPr>
            <w:tcW w:w="1789" w:type="dxa"/>
          </w:tcPr>
          <w:p w:rsidR="00FE7A25" w:rsidRDefault="00FE7A25">
            <w:pPr>
              <w:jc w:val="center"/>
            </w:pPr>
            <w:r>
              <w:t>Всього, грн.</w:t>
            </w:r>
          </w:p>
        </w:tc>
      </w:tr>
      <w:tr w:rsidR="00FE7A25">
        <w:tc>
          <w:tcPr>
            <w:tcW w:w="3659" w:type="dxa"/>
          </w:tcPr>
          <w:p w:rsidR="00FE7A25" w:rsidRDefault="00FE7A25">
            <w:pPr>
              <w:jc w:val="center"/>
            </w:pPr>
            <w:r>
              <w:t>Директор</w:t>
            </w:r>
          </w:p>
        </w:tc>
        <w:tc>
          <w:tcPr>
            <w:tcW w:w="2561" w:type="dxa"/>
          </w:tcPr>
          <w:p w:rsidR="00FE7A25" w:rsidRDefault="00FE7A25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FE7A25" w:rsidRDefault="00FE7A25">
            <w:pPr>
              <w:jc w:val="center"/>
            </w:pPr>
            <w:r>
              <w:t>10</w:t>
            </w:r>
            <w:r w:rsidR="00581B38">
              <w:t>0</w:t>
            </w:r>
            <w:r>
              <w:t>00</w:t>
            </w:r>
          </w:p>
        </w:tc>
        <w:tc>
          <w:tcPr>
            <w:tcW w:w="1789" w:type="dxa"/>
            <w:vAlign w:val="bottom"/>
          </w:tcPr>
          <w:p w:rsidR="00FE7A25" w:rsidRDefault="00FE7A25">
            <w:pPr>
              <w:jc w:val="center"/>
            </w:pPr>
            <w:r>
              <w:t>100</w:t>
            </w:r>
            <w:r w:rsidR="00581B38">
              <w:t>0</w:t>
            </w:r>
            <w:r>
              <w:t>0</w:t>
            </w:r>
          </w:p>
        </w:tc>
      </w:tr>
      <w:tr w:rsidR="00581B38">
        <w:tc>
          <w:tcPr>
            <w:tcW w:w="3659" w:type="dxa"/>
          </w:tcPr>
          <w:p w:rsidR="00581B38" w:rsidRDefault="00581B38">
            <w:pPr>
              <w:jc w:val="center"/>
            </w:pPr>
            <w:r>
              <w:t>Працівник</w:t>
            </w:r>
          </w:p>
        </w:tc>
        <w:tc>
          <w:tcPr>
            <w:tcW w:w="2561" w:type="dxa"/>
          </w:tcPr>
          <w:p w:rsidR="00581B38" w:rsidRDefault="00581B38">
            <w:pPr>
              <w:jc w:val="center"/>
            </w:pPr>
            <w:r>
              <w:t>1</w:t>
            </w:r>
          </w:p>
        </w:tc>
        <w:tc>
          <w:tcPr>
            <w:tcW w:w="1638" w:type="dxa"/>
          </w:tcPr>
          <w:p w:rsidR="00581B38" w:rsidRDefault="00581B38">
            <w:pPr>
              <w:jc w:val="center"/>
            </w:pPr>
            <w:r>
              <w:t>10000</w:t>
            </w:r>
          </w:p>
        </w:tc>
        <w:tc>
          <w:tcPr>
            <w:tcW w:w="1789" w:type="dxa"/>
            <w:vAlign w:val="bottom"/>
          </w:tcPr>
          <w:p w:rsidR="00581B38" w:rsidRDefault="00581B38">
            <w:pPr>
              <w:jc w:val="center"/>
            </w:pPr>
            <w:r>
              <w:t>10000</w:t>
            </w:r>
          </w:p>
        </w:tc>
      </w:tr>
      <w:tr w:rsidR="00FE7A25">
        <w:tc>
          <w:tcPr>
            <w:tcW w:w="7858" w:type="dxa"/>
            <w:gridSpan w:val="3"/>
          </w:tcPr>
          <w:p w:rsidR="00FE7A25" w:rsidRDefault="00FE7A25">
            <w:pPr>
              <w:jc w:val="center"/>
            </w:pPr>
            <w:r>
              <w:t>Всього</w:t>
            </w:r>
          </w:p>
        </w:tc>
        <w:tc>
          <w:tcPr>
            <w:tcW w:w="1789" w:type="dxa"/>
            <w:vAlign w:val="bottom"/>
          </w:tcPr>
          <w:p w:rsidR="00FE7A25" w:rsidRDefault="00581B38">
            <w:pPr>
              <w:jc w:val="center"/>
            </w:pPr>
            <w:r>
              <w:t>20000</w:t>
            </w:r>
          </w:p>
        </w:tc>
      </w:tr>
      <w:tr w:rsidR="00FE7A25">
        <w:tc>
          <w:tcPr>
            <w:tcW w:w="7858" w:type="dxa"/>
            <w:gridSpan w:val="3"/>
          </w:tcPr>
          <w:p w:rsidR="00FE7A25" w:rsidRDefault="00FE7A25">
            <w:pPr>
              <w:jc w:val="center"/>
            </w:pPr>
            <w:r>
              <w:t>Відрахування на соціальні заходи</w:t>
            </w:r>
          </w:p>
        </w:tc>
        <w:tc>
          <w:tcPr>
            <w:tcW w:w="1789" w:type="dxa"/>
            <w:vAlign w:val="bottom"/>
          </w:tcPr>
          <w:p w:rsidR="00FE7A25" w:rsidRDefault="00581B38">
            <w:pPr>
              <w:jc w:val="center"/>
            </w:pPr>
            <w:r>
              <w:t>4400</w:t>
            </w:r>
          </w:p>
        </w:tc>
      </w:tr>
      <w:tr w:rsidR="00FE7A25">
        <w:tc>
          <w:tcPr>
            <w:tcW w:w="7858" w:type="dxa"/>
            <w:gridSpan w:val="3"/>
          </w:tcPr>
          <w:p w:rsidR="00FE7A25" w:rsidRDefault="00FE7A25">
            <w:pPr>
              <w:jc w:val="center"/>
            </w:pPr>
            <w:r>
              <w:t>Разом</w:t>
            </w:r>
          </w:p>
        </w:tc>
        <w:tc>
          <w:tcPr>
            <w:tcW w:w="1789" w:type="dxa"/>
            <w:vAlign w:val="bottom"/>
          </w:tcPr>
          <w:p w:rsidR="00FE7A25" w:rsidRDefault="00581B38">
            <w:pPr>
              <w:jc w:val="center"/>
            </w:pPr>
            <w:r>
              <w:t>24400</w:t>
            </w:r>
          </w:p>
        </w:tc>
      </w:tr>
    </w:tbl>
    <w:p w:rsidR="00581B38" w:rsidRDefault="00581B38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</w:p>
    <w:p w:rsidR="00FE7A25" w:rsidRDefault="00FE7A25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7. Оцінка ризику і страхування</w:t>
      </w:r>
    </w:p>
    <w:p w:rsidR="00FE7A25" w:rsidRDefault="00FE7A25">
      <w:pPr>
        <w:spacing w:line="360" w:lineRule="auto"/>
        <w:ind w:firstLine="540"/>
        <w:jc w:val="both"/>
      </w:pPr>
      <w:r>
        <w:t xml:space="preserve">Даний проект має малий ступінь ризику. Так, статистика діяльності </w:t>
      </w:r>
      <w:r w:rsidR="00581B38">
        <w:t>таких підприємств</w:t>
      </w:r>
      <w:r>
        <w:t xml:space="preserve"> не має прикладів банкрутства. Навпаки, ця сфера вкладення капіталу вважається прибутковою та привабливою.</w:t>
      </w:r>
    </w:p>
    <w:p w:rsidR="00FE7A25" w:rsidRDefault="00FE7A25">
      <w:pPr>
        <w:spacing w:line="360" w:lineRule="auto"/>
        <w:ind w:firstLine="540"/>
        <w:jc w:val="both"/>
      </w:pPr>
      <w:r>
        <w:t>До окремих видів ризику цього проекту відносяться:</w:t>
      </w:r>
    </w:p>
    <w:p w:rsidR="00FE7A25" w:rsidRDefault="00FE7A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невиконання обов’язків постачальниками. Але за умов конкуренції в </w:t>
      </w:r>
      <w:r w:rsidR="00581B38">
        <w:t>громаді</w:t>
      </w:r>
      <w:r>
        <w:t xml:space="preserve"> є великий вибір щодо укладення договорів на постачання сировини;</w:t>
      </w:r>
    </w:p>
    <w:p w:rsidR="00FE7A25" w:rsidRDefault="00FE7A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зміна цін на сировину та паливно-енергетичні ресурси. Зміна цін викличе їх підвищення на продукцію </w:t>
      </w:r>
      <w:r w:rsidR="00581B38">
        <w:t>підприємства</w:t>
      </w:r>
      <w:r>
        <w:t xml:space="preserve">, але, враховуючи специфіку контингенту споживачів, це не повинно значно відбитися на зниженні рентабельності підприємства та прибутковості вкладів у розвиток </w:t>
      </w:r>
      <w:r w:rsidR="00581B38">
        <w:t>підприємства</w:t>
      </w:r>
      <w:r>
        <w:t>.</w:t>
      </w:r>
    </w:p>
    <w:p w:rsidR="00FE7A25" w:rsidRDefault="00FE7A25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 вплив конкуренції. Аналіз конкурентоспроможності </w:t>
      </w:r>
      <w:r w:rsidR="00581B38">
        <w:t>підприємства</w:t>
      </w:r>
      <w:r>
        <w:t xml:space="preserve"> дає змогу сподіватися, що найближчим часом жоден із </w:t>
      </w:r>
      <w:r w:rsidR="00581B38">
        <w:t>конкурентів</w:t>
      </w:r>
      <w:r>
        <w:t xml:space="preserve"> не може скласти серйозної конкуренції </w:t>
      </w:r>
      <w:r w:rsidR="00581B38">
        <w:t>підприємству</w:t>
      </w:r>
      <w:r>
        <w:t>.</w:t>
      </w:r>
    </w:p>
    <w:p w:rsidR="00FE7A25" w:rsidRDefault="00FE7A25">
      <w:pPr>
        <w:spacing w:line="360" w:lineRule="auto"/>
        <w:ind w:firstLine="540"/>
        <w:jc w:val="both"/>
      </w:pPr>
      <w:r>
        <w:lastRenderedPageBreak/>
        <w:t>За нестабільної економічної ситуації для зменшення ризикованості проекту доцільно створити на підприємстві фонд комерційного ризику, куди має відраховуватись 10% чистого прибутку.</w:t>
      </w:r>
    </w:p>
    <w:p w:rsidR="00FE7A25" w:rsidRDefault="00FE7A25">
      <w:pPr>
        <w:spacing w:line="360" w:lineRule="auto"/>
        <w:ind w:firstLine="540"/>
        <w:jc w:val="both"/>
      </w:pPr>
    </w:p>
    <w:p w:rsidR="00714232" w:rsidRDefault="00714232">
      <w:pPr>
        <w:spacing w:line="360" w:lineRule="auto"/>
        <w:ind w:firstLine="540"/>
        <w:jc w:val="both"/>
      </w:pPr>
    </w:p>
    <w:p w:rsidR="00FE7A25" w:rsidRDefault="00FE7A25">
      <w:pPr>
        <w:spacing w:line="360" w:lineRule="auto"/>
        <w:jc w:val="center"/>
        <w:rPr>
          <w:rFonts w:ascii="Bookman Old Style" w:hAnsi="Bookman Old Style"/>
          <w:b/>
          <w:i/>
          <w:sz w:val="32"/>
        </w:rPr>
      </w:pPr>
      <w:r>
        <w:rPr>
          <w:rFonts w:ascii="Bookman Old Style" w:hAnsi="Bookman Old Style"/>
          <w:b/>
          <w:i/>
          <w:sz w:val="32"/>
        </w:rPr>
        <w:t>8. Фінансовий план</w:t>
      </w:r>
    </w:p>
    <w:p w:rsidR="00FE7A25" w:rsidRDefault="00FE7A25">
      <w:pPr>
        <w:spacing w:line="360" w:lineRule="auto"/>
        <w:ind w:firstLine="540"/>
        <w:jc w:val="both"/>
      </w:pPr>
      <w:r>
        <w:t xml:space="preserve">Фінансова стратегія </w:t>
      </w:r>
      <w:r w:rsidR="00056113" w:rsidRPr="005063FD">
        <w:t>ТОВ</w:t>
      </w:r>
      <w:r w:rsidR="00056113">
        <w:t xml:space="preserve"> «</w:t>
      </w:r>
      <w:r w:rsidR="00056113">
        <w:rPr>
          <w:lang w:val="en-US"/>
        </w:rPr>
        <w:t>Green</w:t>
      </w:r>
      <w:r w:rsidR="00056113" w:rsidRPr="005063FD">
        <w:t xml:space="preserve"> </w:t>
      </w:r>
      <w:r w:rsidR="00056113" w:rsidRPr="005E33CD">
        <w:t>Energy</w:t>
      </w:r>
      <w:r w:rsidR="00056113">
        <w:t>»</w:t>
      </w:r>
      <w:r>
        <w:t xml:space="preserve"> полягає  в </w:t>
      </w:r>
      <w:r w:rsidR="00056113">
        <w:t>підвищенні обсягів виробництва, шляхом покращення засобів виробництва, а також створення мережі закладів яким надаються послуги з теплопостачання</w:t>
      </w:r>
      <w:r>
        <w:t>.</w:t>
      </w:r>
    </w:p>
    <w:p w:rsidR="00FE7A25" w:rsidRDefault="00FE7A25">
      <w:pPr>
        <w:spacing w:line="360" w:lineRule="auto"/>
        <w:ind w:firstLine="540"/>
        <w:jc w:val="both"/>
      </w:pPr>
      <w:r>
        <w:t>В основу проектування грошових потоків закладено принципи кругообігу капіталу на підприємстві, а саме: джерелом надходження коштів на підприємстві можуть бути: виручка від реалізації продукції та позареалізаційної діяльності; кредити та позички.</w:t>
      </w:r>
    </w:p>
    <w:p w:rsidR="00FE7A25" w:rsidRDefault="00FE7A25">
      <w:pPr>
        <w:spacing w:line="360" w:lineRule="auto"/>
        <w:ind w:firstLine="540"/>
        <w:jc w:val="both"/>
      </w:pPr>
      <w:r>
        <w:t>Протягом цього періоду основними напрямками витрат коштів на підприємстві є відшкодування собівартості товарообігу, фінансування потоків грошових витрат, обов’язкова сплата податків та фінансування інших запланованих програм. Із збільшенням обсягів діяльності підприємства постійно зростає потреба в обіговому капіталі. Кошти, спрямовані на обов’язкове поповнення обігового капіталу, мають бути вилучені із грошового потоку, тобто віднесені до напрямків витрат.</w:t>
      </w:r>
    </w:p>
    <w:p w:rsidR="00FE7A25" w:rsidRDefault="00FE7A25">
      <w:pPr>
        <w:spacing w:line="360" w:lineRule="auto"/>
        <w:ind w:firstLine="540"/>
        <w:jc w:val="both"/>
      </w:pPr>
      <w:r>
        <w:t xml:space="preserve">Наприкінці кожного періоду визначається потік вільних коштів, і, якщо фінансова стратегія підприємства спрямована на </w:t>
      </w:r>
      <w:r w:rsidR="00056113">
        <w:t>підвищення його прибутковості, вся сума (або</w:t>
      </w:r>
      <w:r>
        <w:t xml:space="preserve"> частина</w:t>
      </w:r>
      <w:r w:rsidR="00056113">
        <w:t xml:space="preserve"> прибутку</w:t>
      </w:r>
      <w:r>
        <w:t xml:space="preserve">) – за рішенням зборів правління </w:t>
      </w:r>
      <w:r w:rsidR="00056113" w:rsidRPr="005063FD">
        <w:t>ТОВ</w:t>
      </w:r>
      <w:r w:rsidR="00056113">
        <w:t xml:space="preserve"> «</w:t>
      </w:r>
      <w:r w:rsidR="00056113">
        <w:rPr>
          <w:lang w:val="en-US"/>
        </w:rPr>
        <w:t>Green</w:t>
      </w:r>
      <w:r w:rsidR="00056113" w:rsidRPr="005063FD">
        <w:t xml:space="preserve"> </w:t>
      </w:r>
      <w:r w:rsidR="00056113" w:rsidRPr="005E33CD">
        <w:t>Energy</w:t>
      </w:r>
      <w:r w:rsidR="00056113">
        <w:t>»</w:t>
      </w:r>
      <w:r>
        <w:t xml:space="preserve">  - може бути виплачена </w:t>
      </w:r>
      <w:r w:rsidR="00056113">
        <w:t>засновникам у вигляді дивідендів, або надалі вкладатися в капітал підприємства з метою його розширення.</w:t>
      </w:r>
    </w:p>
    <w:p w:rsidR="00056113" w:rsidRDefault="00056113">
      <w:pPr>
        <w:spacing w:line="360" w:lineRule="auto"/>
        <w:ind w:firstLine="540"/>
        <w:jc w:val="both"/>
      </w:pPr>
      <w:r>
        <w:t>Враховуючи всі вищезазначені обставини можна з впевненістю зазначити що підприємство має великі шанси для розвитку в конкретному регіоні, з ряду об’єктивних і суб’єктивних причин.</w:t>
      </w:r>
    </w:p>
    <w:p w:rsidR="00056113" w:rsidRDefault="00056113">
      <w:pPr>
        <w:rPr>
          <w:rFonts w:ascii="Bookman Old Style" w:hAnsi="Bookman Old Style"/>
          <w:b/>
          <w:i/>
          <w:sz w:val="32"/>
          <w:szCs w:val="20"/>
          <w:lang w:eastAsia="ru-RU"/>
        </w:rPr>
      </w:pPr>
    </w:p>
    <w:sectPr w:rsidR="00056113" w:rsidSect="000E3077">
      <w:headerReference w:type="even" r:id="rId8"/>
      <w:headerReference w:type="default" r:id="rId9"/>
      <w:pgSz w:w="11906" w:h="16838"/>
      <w:pgMar w:top="851" w:right="851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CA" w:rsidRDefault="00CF7BCA">
      <w:r>
        <w:separator/>
      </w:r>
    </w:p>
  </w:endnote>
  <w:endnote w:type="continuationSeparator" w:id="1">
    <w:p w:rsidR="00CF7BCA" w:rsidRDefault="00CF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CA" w:rsidRDefault="00CF7BCA">
      <w:r>
        <w:separator/>
      </w:r>
    </w:p>
  </w:footnote>
  <w:footnote w:type="continuationSeparator" w:id="1">
    <w:p w:rsidR="00CF7BCA" w:rsidRDefault="00CF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25" w:rsidRDefault="000E30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7A2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7A25" w:rsidRDefault="00FE7A2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A25" w:rsidRDefault="000E30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7A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6113">
      <w:rPr>
        <w:rStyle w:val="a7"/>
        <w:noProof/>
      </w:rPr>
      <w:t>9</w:t>
    </w:r>
    <w:r>
      <w:rPr>
        <w:rStyle w:val="a7"/>
      </w:rPr>
      <w:fldChar w:fldCharType="end"/>
    </w:r>
  </w:p>
  <w:p w:rsidR="00FE7A25" w:rsidRDefault="00FE7A2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56565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A753E06"/>
    <w:multiLevelType w:val="singleLevel"/>
    <w:tmpl w:val="4ADE84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5F6A3916"/>
    <w:multiLevelType w:val="hybridMultilevel"/>
    <w:tmpl w:val="2460BD88"/>
    <w:lvl w:ilvl="0" w:tplc="5B6EFE60">
      <w:start w:val="26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A86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C8F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2B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E4C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30C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0F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DEA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844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C0B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B43E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AD49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9186798"/>
    <w:multiLevelType w:val="hybridMultilevel"/>
    <w:tmpl w:val="7CAE7E86"/>
    <w:lvl w:ilvl="0" w:tplc="DB2A61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13AC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326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6A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609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CAD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A7B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64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3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5EE"/>
    <w:rsid w:val="000175EE"/>
    <w:rsid w:val="0002322F"/>
    <w:rsid w:val="00056113"/>
    <w:rsid w:val="000E3077"/>
    <w:rsid w:val="001E5931"/>
    <w:rsid w:val="001E7527"/>
    <w:rsid w:val="002C469C"/>
    <w:rsid w:val="002F3989"/>
    <w:rsid w:val="0036199B"/>
    <w:rsid w:val="003828BE"/>
    <w:rsid w:val="005063FD"/>
    <w:rsid w:val="00581B38"/>
    <w:rsid w:val="005C675A"/>
    <w:rsid w:val="005E33CD"/>
    <w:rsid w:val="0065655F"/>
    <w:rsid w:val="00714232"/>
    <w:rsid w:val="00794ABF"/>
    <w:rsid w:val="00822EB8"/>
    <w:rsid w:val="00883824"/>
    <w:rsid w:val="008B0824"/>
    <w:rsid w:val="00907865"/>
    <w:rsid w:val="00920262"/>
    <w:rsid w:val="00983E84"/>
    <w:rsid w:val="009E3786"/>
    <w:rsid w:val="00A349B3"/>
    <w:rsid w:val="00A77520"/>
    <w:rsid w:val="00A8443F"/>
    <w:rsid w:val="00B237E1"/>
    <w:rsid w:val="00BB1BBA"/>
    <w:rsid w:val="00BC7D48"/>
    <w:rsid w:val="00CF7BCA"/>
    <w:rsid w:val="00F76871"/>
    <w:rsid w:val="00F91836"/>
    <w:rsid w:val="00FE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077"/>
    <w:rPr>
      <w:sz w:val="24"/>
      <w:szCs w:val="24"/>
      <w:lang w:val="uk-UA" w:eastAsia="uk-UA"/>
    </w:rPr>
  </w:style>
  <w:style w:type="paragraph" w:styleId="4">
    <w:name w:val="heading 4"/>
    <w:basedOn w:val="a"/>
    <w:next w:val="a"/>
    <w:qFormat/>
    <w:rsid w:val="000E3077"/>
    <w:pPr>
      <w:keepNext/>
      <w:jc w:val="center"/>
      <w:outlineLvl w:val="3"/>
    </w:pPr>
    <w:rPr>
      <w:rFonts w:ascii="MS Serif" w:hAnsi="MS Serif"/>
      <w:szCs w:val="20"/>
      <w:lang w:eastAsia="ru-RU"/>
    </w:rPr>
  </w:style>
  <w:style w:type="paragraph" w:styleId="5">
    <w:name w:val="heading 5"/>
    <w:basedOn w:val="a"/>
    <w:next w:val="a"/>
    <w:qFormat/>
    <w:rsid w:val="000E30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E30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E307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3077"/>
    <w:pPr>
      <w:spacing w:line="360" w:lineRule="auto"/>
      <w:ind w:firstLine="567"/>
      <w:jc w:val="both"/>
    </w:pPr>
    <w:rPr>
      <w:rFonts w:ascii="MS Serif" w:hAnsi="MS Serif"/>
      <w:sz w:val="28"/>
      <w:szCs w:val="20"/>
      <w:lang w:eastAsia="ru-RU"/>
    </w:rPr>
  </w:style>
  <w:style w:type="paragraph" w:styleId="40">
    <w:name w:val="toc 4"/>
    <w:basedOn w:val="a"/>
    <w:next w:val="a"/>
    <w:autoRedefine/>
    <w:semiHidden/>
    <w:rsid w:val="000E3077"/>
    <w:pPr>
      <w:tabs>
        <w:tab w:val="right" w:leader="dot" w:pos="9515"/>
      </w:tabs>
      <w:spacing w:line="360" w:lineRule="auto"/>
      <w:ind w:firstLine="540"/>
    </w:pPr>
    <w:rPr>
      <w:noProof/>
      <w:lang w:val="ru-RU" w:eastAsia="ru-RU"/>
    </w:rPr>
  </w:style>
  <w:style w:type="character" w:styleId="a4">
    <w:name w:val="Hyperlink"/>
    <w:basedOn w:val="a0"/>
    <w:rsid w:val="000E3077"/>
    <w:rPr>
      <w:color w:val="0000FF"/>
      <w:u w:val="single"/>
    </w:rPr>
  </w:style>
  <w:style w:type="paragraph" w:styleId="a5">
    <w:name w:val="footer"/>
    <w:basedOn w:val="a"/>
    <w:rsid w:val="00714232"/>
    <w:pPr>
      <w:tabs>
        <w:tab w:val="center" w:pos="4819"/>
        <w:tab w:val="right" w:pos="9639"/>
      </w:tabs>
    </w:pPr>
  </w:style>
  <w:style w:type="paragraph" w:styleId="a6">
    <w:name w:val="header"/>
    <w:basedOn w:val="a"/>
    <w:rsid w:val="000E3077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0E3077"/>
  </w:style>
  <w:style w:type="paragraph" w:styleId="3">
    <w:name w:val="Body Text 3"/>
    <w:basedOn w:val="a"/>
    <w:rsid w:val="000E3077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E3077"/>
    <w:pPr>
      <w:spacing w:after="120" w:line="480" w:lineRule="auto"/>
      <w:ind w:left="283"/>
    </w:pPr>
  </w:style>
  <w:style w:type="paragraph" w:styleId="20">
    <w:name w:val="Body Text 2"/>
    <w:basedOn w:val="a"/>
    <w:rsid w:val="000E3077"/>
    <w:pPr>
      <w:spacing w:after="120" w:line="480" w:lineRule="auto"/>
    </w:pPr>
  </w:style>
  <w:style w:type="paragraph" w:styleId="a8">
    <w:name w:val="Document Map"/>
    <w:basedOn w:val="a"/>
    <w:semiHidden/>
    <w:rsid w:val="000E3077"/>
    <w:pPr>
      <w:shd w:val="clear" w:color="auto" w:fill="000080"/>
    </w:pPr>
    <w:rPr>
      <w:rFonts w:ascii="Tahoma" w:hAnsi="Tahoma" w:cs="Tahoma"/>
    </w:rPr>
  </w:style>
  <w:style w:type="character" w:styleId="a9">
    <w:name w:val="FollowedHyperlink"/>
    <w:basedOn w:val="a0"/>
    <w:rsid w:val="00BB1BB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D996C-E01C-4CF3-89E7-D433F161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13834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16228</CharactersWithSpaces>
  <SharedDoc>false</SharedDoc>
  <HLinks>
    <vt:vector size="84" baseType="variant">
      <vt:variant>
        <vt:i4>5701699</vt:i4>
      </vt:variant>
      <vt:variant>
        <vt:i4>42</vt:i4>
      </vt:variant>
      <vt:variant>
        <vt:i4>0</vt:i4>
      </vt:variant>
      <vt:variant>
        <vt:i4>5</vt:i4>
      </vt:variant>
      <vt:variant>
        <vt:lpwstr>http://biznes-plan.at.ua/</vt:lpwstr>
      </vt:variant>
      <vt:variant>
        <vt:lpwstr/>
      </vt:variant>
      <vt:variant>
        <vt:i4>5701699</vt:i4>
      </vt:variant>
      <vt:variant>
        <vt:i4>39</vt:i4>
      </vt:variant>
      <vt:variant>
        <vt:i4>0</vt:i4>
      </vt:variant>
      <vt:variant>
        <vt:i4>5</vt:i4>
      </vt:variant>
      <vt:variant>
        <vt:lpwstr>http://biznes-plan.at.ua/</vt:lpwstr>
      </vt:variant>
      <vt:variant>
        <vt:lpwstr/>
      </vt:variant>
      <vt:variant>
        <vt:i4>5701699</vt:i4>
      </vt:variant>
      <vt:variant>
        <vt:i4>36</vt:i4>
      </vt:variant>
      <vt:variant>
        <vt:i4>0</vt:i4>
      </vt:variant>
      <vt:variant>
        <vt:i4>5</vt:i4>
      </vt:variant>
      <vt:variant>
        <vt:lpwstr>http://biznes-plan.at.ua/</vt:lpwstr>
      </vt:variant>
      <vt:variant>
        <vt:lpwstr/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_Toc93740696</vt:lpwstr>
      </vt:variant>
      <vt:variant>
        <vt:i4>1245239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_Toc93740695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_Toc93740694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_Toc93740693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_Toc93740692</vt:lpwstr>
      </vt:variant>
      <vt:variant>
        <vt:i4>1507383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_Toc93740691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_Toc93740690</vt:lpwstr>
      </vt:variant>
      <vt:variant>
        <vt:i4>2031670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_Toc93740689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_Toc93740688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_Toc93740687</vt:lpwstr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http://biznes-plan.at.ua/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ДОЦЯ!!!!!!!!</dc:creator>
  <cp:lastModifiedBy>User</cp:lastModifiedBy>
  <cp:revision>2</cp:revision>
  <cp:lastPrinted>2005-02-03T05:10:00Z</cp:lastPrinted>
  <dcterms:created xsi:type="dcterms:W3CDTF">2018-10-12T10:24:00Z</dcterms:created>
  <dcterms:modified xsi:type="dcterms:W3CDTF">2018-10-12T10:24:00Z</dcterms:modified>
</cp:coreProperties>
</file>